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85" w:rsidRDefault="00A16A85" w:rsidP="00A16A85">
      <w:pPr>
        <w:widowControl w:val="0"/>
        <w:jc w:val="right"/>
        <w:outlineLvl w:val="0"/>
        <w:rPr>
          <w:color w:val="000000"/>
          <w:sz w:val="24"/>
        </w:rPr>
      </w:pPr>
    </w:p>
    <w:p w:rsidR="00A16A85" w:rsidRPr="001324AE" w:rsidRDefault="00A16A85" w:rsidP="00A16A85">
      <w:pPr>
        <w:widowControl w:val="0"/>
        <w:jc w:val="right"/>
        <w:outlineLvl w:val="0"/>
        <w:rPr>
          <w:color w:val="000000"/>
          <w:sz w:val="24"/>
        </w:rPr>
      </w:pPr>
      <w:r w:rsidRPr="001324AE">
        <w:rPr>
          <w:color w:val="000000"/>
          <w:sz w:val="24"/>
        </w:rPr>
        <w:t>Приложение 2</w:t>
      </w:r>
    </w:p>
    <w:p w:rsidR="00A16A85" w:rsidRPr="001324AE" w:rsidRDefault="00A16A85" w:rsidP="00A16A85">
      <w:pPr>
        <w:widowControl w:val="0"/>
        <w:rPr>
          <w:color w:val="000000"/>
          <w:sz w:val="24"/>
        </w:rPr>
      </w:pPr>
    </w:p>
    <w:p w:rsidR="00A16A85" w:rsidRPr="001324AE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Pr="001324AE" w:rsidRDefault="00A16A85" w:rsidP="00A16A85">
      <w:pPr>
        <w:widowControl w:val="0"/>
        <w:jc w:val="center"/>
        <w:rPr>
          <w:color w:val="000000"/>
          <w:sz w:val="24"/>
          <w:szCs w:val="24"/>
        </w:rPr>
      </w:pPr>
      <w:r w:rsidRPr="001324AE">
        <w:rPr>
          <w:color w:val="000000"/>
          <w:sz w:val="24"/>
          <w:szCs w:val="24"/>
        </w:rPr>
        <w:t>ИНФОРМАЦИЯ</w:t>
      </w:r>
    </w:p>
    <w:p w:rsidR="00A16A85" w:rsidRPr="001324AE" w:rsidRDefault="00A16A85" w:rsidP="00A16A85">
      <w:pPr>
        <w:widowControl w:val="0"/>
        <w:jc w:val="center"/>
        <w:rPr>
          <w:color w:val="000000"/>
          <w:sz w:val="24"/>
          <w:szCs w:val="24"/>
        </w:rPr>
      </w:pPr>
      <w:r w:rsidRPr="001324AE">
        <w:rPr>
          <w:color w:val="000000"/>
          <w:sz w:val="24"/>
          <w:szCs w:val="24"/>
        </w:rPr>
        <w:t>о проведенных мероприятиях по контролю</w:t>
      </w:r>
    </w:p>
    <w:p w:rsidR="00A16A85" w:rsidRPr="001324AE" w:rsidRDefault="00A16A85" w:rsidP="00A16A85">
      <w:pPr>
        <w:widowControl w:val="0"/>
        <w:jc w:val="center"/>
        <w:rPr>
          <w:color w:val="000000"/>
          <w:sz w:val="24"/>
          <w:szCs w:val="24"/>
        </w:rPr>
      </w:pPr>
      <w:r w:rsidRPr="001324AE">
        <w:rPr>
          <w:color w:val="000000"/>
          <w:sz w:val="24"/>
          <w:szCs w:val="24"/>
        </w:rPr>
        <w:t>в отношении подведомственных организаций</w:t>
      </w:r>
    </w:p>
    <w:p w:rsidR="00A16A85" w:rsidRDefault="00A16A85" w:rsidP="00A16A85">
      <w:pPr>
        <w:widowControl w:val="0"/>
        <w:jc w:val="center"/>
        <w:rPr>
          <w:color w:val="000000"/>
          <w:sz w:val="24"/>
          <w:szCs w:val="24"/>
        </w:rPr>
      </w:pPr>
      <w:r w:rsidRPr="001324AE">
        <w:rPr>
          <w:color w:val="000000"/>
          <w:sz w:val="24"/>
          <w:szCs w:val="24"/>
        </w:rPr>
        <w:t>за 2022</w:t>
      </w:r>
      <w:r>
        <w:rPr>
          <w:color w:val="000000"/>
          <w:sz w:val="24"/>
          <w:szCs w:val="24"/>
        </w:rPr>
        <w:t xml:space="preserve"> год </w:t>
      </w:r>
    </w:p>
    <w:p w:rsidR="00A16A85" w:rsidRPr="001324AE" w:rsidRDefault="00A16A85" w:rsidP="00A16A8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управлением муниципальной службы и кадровой политики мэрии города Череповца </w:t>
      </w:r>
    </w:p>
    <w:p w:rsidR="00A16A85" w:rsidRPr="001324AE" w:rsidRDefault="00A16A85" w:rsidP="00A16A85">
      <w:pPr>
        <w:widowControl w:val="0"/>
        <w:rPr>
          <w:color w:val="000000"/>
          <w:sz w:val="24"/>
        </w:rPr>
      </w:pPr>
    </w:p>
    <w:tbl>
      <w:tblPr>
        <w:tblW w:w="98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4385"/>
        <w:gridCol w:w="4700"/>
      </w:tblGrid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N</w:t>
            </w:r>
          </w:p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п/п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Значение показателя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Проведено проверок, всего: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55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Из общего количества проверок проведено: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плановых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55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внеплановых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повторных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Количество проверок, в ходе проведения которых выявлены нарушения трудового законодательства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36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Наименования проверенных подведомственных организаций: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МАДОУ "Детский сад</w:t>
            </w:r>
            <w:r w:rsidRPr="001324AE">
              <w:rPr>
                <w:color w:val="000000"/>
                <w:sz w:val="24"/>
              </w:rPr>
              <w:t xml:space="preserve"> № 118"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119»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124»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образовательная школа № 25»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"ДВОРЕЦ МЕТАЛЛУРГОВ"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127»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26 с углубленным изучением отдельных предметов»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28»</w:t>
            </w:r>
            <w:r>
              <w:rPr>
                <w:color w:val="000000"/>
                <w:sz w:val="24"/>
              </w:rPr>
              <w:t xml:space="preserve">, МАУК </w:t>
            </w:r>
            <w:r w:rsidRPr="001324AE">
              <w:rPr>
                <w:color w:val="000000"/>
                <w:sz w:val="24"/>
              </w:rPr>
              <w:t>"ГОРОДСКОЙ КУЛЬТУРНО-ДОСУГОВЫЙ ЦЕНТР "ЕДИНЕНИЕ"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90»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"Средняя общеобразовательная школа № 1</w:t>
            </w:r>
          </w:p>
          <w:p w:rsidR="00A16A85" w:rsidRPr="001324AE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имени Максима Горького"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«Спортивный клуб Череповец»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15»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29»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образовательная школа № 30»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«Банно-прачечное хозяйство»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ДО "Детская художественная школа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им.И.А.Милютина»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32»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«Женская гуманитарная гимназия»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"Городское филармоническое собрание»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8»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 xml:space="preserve">МАДОУ </w:t>
            </w:r>
            <w:r w:rsidRPr="001324AE">
              <w:rPr>
                <w:color w:val="000000"/>
                <w:sz w:val="24"/>
              </w:rPr>
              <w:lastRenderedPageBreak/>
              <w:t>«Детский сад № 12»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"Общеобразовательная школа для обучающихся с ограниченными возможностями здоровья № 35»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ДО «Детский технопарк «Кванториум»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«Спортивная школа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77»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"Театр для детей и молодежи»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«Специализированная ритуальная служба»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«Дворец культуры «Строитель» имени Д.Н.Мамлеева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ДО ""Центр детского творчества и методического обеспечения»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81»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130»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«Электросеть»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21»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«Камерный театр»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"Спортивная школа олимпийского резерва № 3"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</w:t>
            </w:r>
            <w:r>
              <w:rPr>
                <w:color w:val="000000"/>
                <w:sz w:val="24"/>
              </w:rPr>
              <w:t xml:space="preserve"> о</w:t>
            </w:r>
            <w:r w:rsidRPr="001324AE">
              <w:rPr>
                <w:color w:val="000000"/>
                <w:sz w:val="24"/>
              </w:rPr>
              <w:t>бщеобразовательная школа №3 имени А.А.Потапова»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«Дворец Химиков»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«Череповецкая автоколонна № 1456»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«Образовательный центр № 36»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«Начальная образовательная школа № 41»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44»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МКУ «Центр по защите населения и территорий от чрезвычайных ситуаций»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«Начальная образовательная школа № 43»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46»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59»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lastRenderedPageBreak/>
              <w:t>3.1.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организации, в отношении которых проведены плановые проверки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МАДОУ "Детский сад</w:t>
            </w:r>
            <w:r w:rsidRPr="001324AE">
              <w:rPr>
                <w:color w:val="000000"/>
                <w:sz w:val="24"/>
              </w:rPr>
              <w:t xml:space="preserve"> № 118"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119»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124»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образовательная школа № 25»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"ДВОРЕЦ МЕТАЛЛУРГОВ"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127»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26 с углубленным изучением отдельных предметов»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28»</w:t>
            </w:r>
            <w:r>
              <w:rPr>
                <w:color w:val="000000"/>
                <w:sz w:val="24"/>
              </w:rPr>
              <w:t xml:space="preserve">, МАУК </w:t>
            </w:r>
            <w:r w:rsidRPr="001324AE">
              <w:rPr>
                <w:color w:val="000000"/>
                <w:sz w:val="24"/>
              </w:rPr>
              <w:t>"ГОРОДСКОЙ КУЛЬТУРНО-ДОСУГОВЫЙ ЦЕНТР "ЕДИНЕНИЕ"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90»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"Средняя общеобразовательная школа № 1</w:t>
            </w:r>
          </w:p>
          <w:p w:rsidR="00A16A85" w:rsidRPr="001324AE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имени Максима Горького"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«Спортивный клуб Череповец»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15»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29»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 xml:space="preserve">МАОУ «Средняя образовательная школа № </w:t>
            </w:r>
            <w:r w:rsidRPr="001324AE">
              <w:rPr>
                <w:color w:val="000000"/>
                <w:sz w:val="24"/>
              </w:rPr>
              <w:lastRenderedPageBreak/>
              <w:t>30»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«Банно-прачечное хозяйство»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ДО "Детская художественная школа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им.И.А.Милютина»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32»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«Женская гуманитарная гимназия»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"Городское филармоническое собрание»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8»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12»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"Общеобразовательная школа для обучающихся с ограниченными возможностями здоровья № 35»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ДО «Детский технопарк «Кванториум»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«Спортивная школа № 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77»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"Театр для детей и молодежи»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«Специализированная ритуальная служба»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«Дворец культуры «Строитель» имени Д.Н.Мамлеева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ДО ""Центр детского творчества и методического обеспечения»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81»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130»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города Череповца «Электросеть»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21»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«Камерный театр»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 "Спортивная школа олимпийского резерва № 3"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</w:t>
            </w:r>
            <w:r>
              <w:rPr>
                <w:color w:val="000000"/>
                <w:sz w:val="24"/>
              </w:rPr>
              <w:t xml:space="preserve"> о</w:t>
            </w:r>
            <w:r w:rsidRPr="001324AE">
              <w:rPr>
                <w:color w:val="000000"/>
                <w:sz w:val="24"/>
              </w:rPr>
              <w:t>бщеобразовательная школа №3 имени А.А.Потапова»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16»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МАУК «Дворец Химиков»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МУП «Череповецкая автоколонна № 1456»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«Образовательный центр № 36»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«Начальная образовательная школа № 41»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«Центр образования № 44»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МКУ «Центр по защите населения и территорий от чрезвычайных ситуаций»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«Начальная образовательная школа № 43»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МАОУ «Средняя общеобразовательная школа № 34»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46»</w:t>
            </w:r>
            <w:r>
              <w:rPr>
                <w:color w:val="000000"/>
                <w:sz w:val="24"/>
              </w:rPr>
              <w:t xml:space="preserve">, </w:t>
            </w:r>
            <w:r w:rsidRPr="001324AE">
              <w:rPr>
                <w:color w:val="000000"/>
                <w:sz w:val="24"/>
              </w:rPr>
              <w:t>МАДОУ «Детский сад № 59»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lastRenderedPageBreak/>
              <w:t>3.2.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организации, в отношении которых проведены внеплановые проверки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-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3.3.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организации, в отношении которых проведены повторные проверки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-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Количество выявленных в ходе всех видов проверок нарушений, всего: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67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Из общего количества нарушений выявлено по вопросам: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lastRenderedPageBreak/>
              <w:t>4.1.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социального партнерства в сфере труда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8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трудового договора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11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рабочего времени и времени отдыха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3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оплаты и нормирования труда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соблюдения гарантий и компенсаций, предоставляемых работникам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3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4.6.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трудового распорядка и дисциплины труда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4.7.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подготовки и получения дополнительного профессионального образования работников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6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4.8.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охраны труда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16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5" w:rsidRPr="001324AE" w:rsidRDefault="00A16A85" w:rsidP="00CC4172">
            <w:pPr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4.8.1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5" w:rsidRPr="001324AE" w:rsidRDefault="00A16A85" w:rsidP="00CC4172">
            <w:pPr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Специальная оценка условий труда в части соблюдения сроков проведения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4.9.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материальной ответственности сторон трудового договора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4.10.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4.11.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4.12.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проведения специальной оценки условий труда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7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4.13.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по другим вопросам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9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6.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Количество работников, направленных на получение дополнительного профессионального образования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6.1.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Наименование мероприятий, в рамках которых работниками получено дополнительное профессиональное образование, и семинаров, посвященных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25-27 октября 2022 – стажировка в рамках практикума по управлению кадрами по обмену опытом и внедрению на гражданской и муниципальной службе современных технологий управления персоналом.</w:t>
            </w:r>
          </w:p>
          <w:p w:rsidR="00A16A85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A16A85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Онлайн-семинары, темы: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13.01.2022 – Трудовое право и кадровое делопроизводство в 2022 году: что нового?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17.02.2022 – Актуальные вопросы правоприменения при регулировании трудовых отношений,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06.04.2022 – Последние изменения законодательства в области охраны труда. Требования к работодателям.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19.05.2022 – Профстандарты.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25.08.2022 – Отдельные обязательные требования и практика их применения в регулировании трудовых отношений.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03.10.2022 – Кадровое делопроизводство: сложные и спорные ситуации.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24.11.2022 – Регулирование трудовых отношений: изменения и практика в 2022 году.</w:t>
            </w:r>
          </w:p>
          <w:p w:rsidR="00A16A85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05.12.2022 – Охрана труда в организации по новым правилам.</w:t>
            </w:r>
          </w:p>
          <w:p w:rsidR="00A16A85" w:rsidRPr="001324AE" w:rsidRDefault="00A16A85" w:rsidP="00CC417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0</w:t>
            </w:r>
          </w:p>
        </w:tc>
      </w:tr>
      <w:tr w:rsidR="00A16A85" w:rsidRPr="001324AE" w:rsidTr="00CC417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5" w:rsidRPr="001324AE" w:rsidRDefault="00A16A85" w:rsidP="00CC4172">
            <w:pPr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8.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5" w:rsidRPr="001324AE" w:rsidRDefault="00A16A85" w:rsidP="00CC4172">
            <w:pPr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>Сведения о направлении информации о выявленных нарушениях в территориальный орган территориальный орган Федеральной службы по труду и занятости и (или) правоохранительные органы, в компетенцию которых входит решение вопроса о привлечении к административной и уголовной ответственности лиц, допустивших нарушения трудового законодательства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A85" w:rsidRPr="001324AE" w:rsidRDefault="00A16A85" w:rsidP="00CC4172">
            <w:pPr>
              <w:widowControl w:val="0"/>
              <w:jc w:val="center"/>
              <w:rPr>
                <w:color w:val="000000"/>
                <w:sz w:val="24"/>
              </w:rPr>
            </w:pPr>
            <w:r w:rsidRPr="001324AE">
              <w:rPr>
                <w:color w:val="000000"/>
                <w:sz w:val="24"/>
              </w:rPr>
              <w:t xml:space="preserve">- </w:t>
            </w:r>
          </w:p>
        </w:tc>
      </w:tr>
    </w:tbl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  <w:bookmarkStart w:id="0" w:name="_GoBack"/>
      <w:bookmarkEnd w:id="0"/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Pr="001324AE" w:rsidRDefault="00A16A85" w:rsidP="00A16A85">
      <w:pPr>
        <w:widowControl w:val="0"/>
        <w:jc w:val="both"/>
        <w:rPr>
          <w:rFonts w:ascii="Courier New" w:hAnsi="Courier New"/>
          <w:color w:val="000000"/>
        </w:rPr>
      </w:pPr>
    </w:p>
    <w:p w:rsidR="00A16A85" w:rsidRPr="001324AE" w:rsidRDefault="00A16A85" w:rsidP="00A16A85">
      <w:pPr>
        <w:jc w:val="center"/>
        <w:rPr>
          <w:bCs/>
          <w:sz w:val="26"/>
          <w:szCs w:val="26"/>
        </w:rPr>
      </w:pPr>
    </w:p>
    <w:sectPr w:rsidR="00A16A85" w:rsidRPr="001324AE" w:rsidSect="00C46150">
      <w:headerReference w:type="even" r:id="rId6"/>
      <w:headerReference w:type="default" r:id="rId7"/>
      <w:pgSz w:w="11906" w:h="16838"/>
      <w:pgMar w:top="244" w:right="907" w:bottom="425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BB" w:rsidRDefault="00472FBB">
      <w:r>
        <w:separator/>
      </w:r>
    </w:p>
  </w:endnote>
  <w:endnote w:type="continuationSeparator" w:id="0">
    <w:p w:rsidR="00472FBB" w:rsidRDefault="004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BB" w:rsidRDefault="00472FBB">
      <w:r>
        <w:separator/>
      </w:r>
    </w:p>
  </w:footnote>
  <w:footnote w:type="continuationSeparator" w:id="0">
    <w:p w:rsidR="00472FBB" w:rsidRDefault="0047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AE" w:rsidRDefault="00A16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AE" w:rsidRDefault="00472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AE" w:rsidRPr="00185588" w:rsidRDefault="00A16A85">
    <w:pPr>
      <w:pStyle w:val="a3"/>
      <w:framePr w:wrap="around" w:vAnchor="text" w:hAnchor="margin" w:xAlign="center" w:y="361"/>
      <w:rPr>
        <w:rStyle w:val="a5"/>
        <w:sz w:val="24"/>
        <w:szCs w:val="24"/>
      </w:rPr>
    </w:pPr>
    <w:r w:rsidRPr="00185588">
      <w:rPr>
        <w:rStyle w:val="a5"/>
        <w:sz w:val="24"/>
        <w:szCs w:val="24"/>
      </w:rPr>
      <w:fldChar w:fldCharType="begin"/>
    </w:r>
    <w:r w:rsidRPr="00185588">
      <w:rPr>
        <w:rStyle w:val="a5"/>
        <w:sz w:val="24"/>
        <w:szCs w:val="24"/>
      </w:rPr>
      <w:instrText xml:space="preserve">PAGE  </w:instrText>
    </w:r>
    <w:r w:rsidRPr="00185588">
      <w:rPr>
        <w:rStyle w:val="a5"/>
        <w:sz w:val="24"/>
        <w:szCs w:val="24"/>
      </w:rPr>
      <w:fldChar w:fldCharType="separate"/>
    </w:r>
    <w:r w:rsidR="00E17F57">
      <w:rPr>
        <w:rStyle w:val="a5"/>
        <w:noProof/>
        <w:sz w:val="24"/>
        <w:szCs w:val="24"/>
      </w:rPr>
      <w:t>5</w:t>
    </w:r>
    <w:r w:rsidRPr="00185588">
      <w:rPr>
        <w:rStyle w:val="a5"/>
        <w:sz w:val="24"/>
        <w:szCs w:val="24"/>
      </w:rPr>
      <w:fldChar w:fldCharType="end"/>
    </w:r>
  </w:p>
  <w:p w:rsidR="001324AE" w:rsidRDefault="00472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85"/>
    <w:rsid w:val="0036134C"/>
    <w:rsid w:val="00472FBB"/>
    <w:rsid w:val="00A16A85"/>
    <w:rsid w:val="00E17F57"/>
    <w:rsid w:val="00FC0572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414E1-3713-49F8-BF60-7F948BE1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6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6A85"/>
  </w:style>
  <w:style w:type="paragraph" w:styleId="a6">
    <w:name w:val="Balloon Text"/>
    <w:basedOn w:val="a"/>
    <w:link w:val="a7"/>
    <w:uiPriority w:val="99"/>
    <w:semiHidden/>
    <w:unhideWhenUsed/>
    <w:rsid w:val="00A16A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Лапова Ирина Валентиновна</dc:creator>
  <cp:keywords/>
  <dc:description/>
  <cp:lastModifiedBy>Лапова Ирина Валентиновна</cp:lastModifiedBy>
  <cp:revision>2</cp:revision>
  <cp:lastPrinted>2023-01-24T07:04:00Z</cp:lastPrinted>
  <dcterms:created xsi:type="dcterms:W3CDTF">2023-02-10T10:40:00Z</dcterms:created>
  <dcterms:modified xsi:type="dcterms:W3CDTF">2023-02-10T10:40:00Z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1125046375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(Ведомственный контроль)</vt:lpwstr>
  </property>
  <property fmtid="{D5CDD505-2E9C-101B-9397-08002B2CF9AE}" pid="5" name="_AuthorEmail">
    <vt:lpwstr>lapova.iv@cherepovetscity.ru</vt:lpwstr>
  </property>
  <property fmtid="{D5CDD505-2E9C-101B-9397-08002B2CF9AE}" pid="6" name="_AuthorEmailDisplayName">
    <vt:lpwstr>Лапова Ирина Валентиновна</vt:lpwstr>
  </property>
</Properties>
</file>