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82ADB" w:rsidRDefault="00582ADB"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0"/>
          <w:szCs w:val="20"/>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353543" w:rsidP="003535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Кустова Юлия Валерьевна</w:t>
            </w:r>
            <w:r w:rsidR="002C5A49" w:rsidRPr="00197D3F">
              <w:rPr>
                <w:rFonts w:ascii="Times New Roman" w:eastAsia="Times New Roman" w:hAnsi="Times New Roman" w:cs="Times New Roman"/>
                <w:b/>
                <w:sz w:val="24"/>
                <w:szCs w:val="24"/>
              </w:rPr>
              <w:t>, одномандатный избирательный округ №</w:t>
            </w:r>
            <w:r w:rsidR="00750DFF">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40616E" w:rsidRDefault="0040616E" w:rsidP="005D3D43">
            <w:pPr>
              <w:spacing w:after="0" w:line="240" w:lineRule="auto"/>
              <w:jc w:val="center"/>
              <w:rPr>
                <w:rFonts w:ascii="Times New Roman" w:eastAsia="Times New Roman" w:hAnsi="Times New Roman" w:cs="Times New Roman"/>
                <w:b/>
                <w:sz w:val="24"/>
                <w:szCs w:val="24"/>
              </w:rPr>
            </w:pPr>
            <w:r w:rsidRPr="0040616E">
              <w:rPr>
                <w:rFonts w:ascii="Times New Roman" w:eastAsia="Times New Roman" w:hAnsi="Times New Roman" w:cs="Times New Roman"/>
                <w:b/>
                <w:sz w:val="24"/>
                <w:szCs w:val="24"/>
              </w:rPr>
              <w:t>40810810512009002078</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A218D3" w:rsidRDefault="00A218D3" w:rsidP="005D3D43">
            <w:pPr>
              <w:spacing w:after="0" w:line="240" w:lineRule="auto"/>
              <w:jc w:val="center"/>
              <w:rPr>
                <w:rFonts w:ascii="Times New Roman" w:eastAsia="Times New Roman" w:hAnsi="Times New Roman" w:cs="Times New Roman"/>
                <w:b/>
              </w:rPr>
            </w:pPr>
            <w:r w:rsidRPr="00A218D3">
              <w:rPr>
                <w:rFonts w:ascii="Times New Roman" w:eastAsia="Times New Roman" w:hAnsi="Times New Roman"/>
                <w:b/>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82ADB">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B85B0C">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197D3F" w:rsidP="00197D3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82ADB">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9F151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9F151F">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9F151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6B220E"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82A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 xml:space="preserve">    19.07.2022   </w:t>
            </w:r>
            <w:r w:rsidR="00582ADB">
              <w:rPr>
                <w:rFonts w:ascii="Times New Roman" w:eastAsia="Times New Roman" w:hAnsi="Times New Roman" w:cs="Times New Roman"/>
                <w:sz w:val="20"/>
                <w:szCs w:val="20"/>
              </w:rPr>
              <w:t>Ю.В. Кустова</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9B" w:rsidRDefault="007C029B" w:rsidP="005D3D43">
      <w:pPr>
        <w:spacing w:after="0" w:line="240" w:lineRule="auto"/>
      </w:pPr>
      <w:r>
        <w:separator/>
      </w:r>
    </w:p>
  </w:endnote>
  <w:endnote w:type="continuationSeparator" w:id="0">
    <w:p w:rsidR="007C029B" w:rsidRDefault="007C029B"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9B" w:rsidRDefault="007C029B" w:rsidP="005D3D43">
      <w:pPr>
        <w:spacing w:after="0" w:line="240" w:lineRule="auto"/>
      </w:pPr>
      <w:r>
        <w:separator/>
      </w:r>
    </w:p>
  </w:footnote>
  <w:footnote w:type="continuationSeparator" w:id="0">
    <w:p w:rsidR="007C029B" w:rsidRDefault="007C029B"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161BD9"/>
    <w:rsid w:val="00197D3F"/>
    <w:rsid w:val="00203CB8"/>
    <w:rsid w:val="002C5A49"/>
    <w:rsid w:val="002D46DF"/>
    <w:rsid w:val="00353543"/>
    <w:rsid w:val="0040616E"/>
    <w:rsid w:val="00582ADB"/>
    <w:rsid w:val="005C33FA"/>
    <w:rsid w:val="005D3D43"/>
    <w:rsid w:val="005F3267"/>
    <w:rsid w:val="006B220E"/>
    <w:rsid w:val="00750DFF"/>
    <w:rsid w:val="007C029B"/>
    <w:rsid w:val="009F151F"/>
    <w:rsid w:val="00A218D3"/>
    <w:rsid w:val="00C8012D"/>
    <w:rsid w:val="00CC605B"/>
    <w:rsid w:val="00E46F46"/>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3D73"/>
  <w15:docId w15:val="{C2507E99-8D89-41AB-81DE-817C2833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10</cp:revision>
  <dcterms:created xsi:type="dcterms:W3CDTF">2022-07-18T10:33:00Z</dcterms:created>
  <dcterms:modified xsi:type="dcterms:W3CDTF">2022-07-27T12:15:00Z</dcterms:modified>
</cp:coreProperties>
</file>