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9" w:rsidRPr="00107991" w:rsidRDefault="002C42C9" w:rsidP="002C42C9">
      <w:pPr>
        <w:pStyle w:val="2"/>
        <w:rPr>
          <w:sz w:val="20"/>
        </w:rPr>
      </w:pPr>
      <w:r w:rsidRPr="00107991">
        <w:rPr>
          <w:sz w:val="20"/>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xml:space="preserve">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E6417E" w:rsidP="0048760D">
            <w:pPr>
              <w:ind w:right="227"/>
              <w:jc w:val="center"/>
              <w:rPr>
                <w:sz w:val="24"/>
                <w:szCs w:val="24"/>
              </w:rPr>
            </w:pPr>
            <w:r>
              <w:rPr>
                <w:sz w:val="24"/>
                <w:szCs w:val="24"/>
              </w:rPr>
              <w:t>Зародов Дмитрий Николаевич</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7</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5C03B2">
            <w:pPr>
              <w:jc w:val="center"/>
              <w:rPr>
                <w:sz w:val="24"/>
                <w:szCs w:val="24"/>
              </w:rPr>
            </w:pPr>
            <w:r w:rsidRPr="001126D6">
              <w:rPr>
                <w:sz w:val="24"/>
                <w:szCs w:val="24"/>
              </w:rPr>
              <w:t>Специальный избирател</w:t>
            </w:r>
            <w:r>
              <w:rPr>
                <w:sz w:val="24"/>
                <w:szCs w:val="24"/>
              </w:rPr>
              <w:t xml:space="preserve">ьный счет № </w:t>
            </w:r>
            <w:r w:rsidR="006D54E0">
              <w:rPr>
                <w:sz w:val="24"/>
                <w:szCs w:val="24"/>
              </w:rPr>
              <w:t>408108102</w:t>
            </w:r>
            <w:r w:rsidR="00BA1B23">
              <w:rPr>
                <w:sz w:val="24"/>
                <w:szCs w:val="24"/>
              </w:rPr>
              <w:t>120090013</w:t>
            </w:r>
            <w:r w:rsidR="006D54E0">
              <w:rPr>
                <w:sz w:val="24"/>
                <w:szCs w:val="24"/>
              </w:rPr>
              <w:t>0</w:t>
            </w:r>
            <w:r w:rsidR="005C03B2">
              <w:rPr>
                <w:sz w:val="24"/>
                <w:szCs w:val="24"/>
              </w:rPr>
              <w:t>8</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A7219" w:rsidRDefault="000A7219" w:rsidP="002C42C9">
      <w:pPr>
        <w:jc w:val="both"/>
        <w:rPr>
          <w:sz w:val="20"/>
        </w:rPr>
      </w:pP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0A7219">
        <w:trPr>
          <w:cantSplit/>
          <w:trHeight w:val="343"/>
        </w:trPr>
        <w:tc>
          <w:tcPr>
            <w:tcW w:w="4788" w:type="dxa"/>
            <w:vMerge w:val="restart"/>
            <w:tcBorders>
              <w:top w:val="nil"/>
              <w:left w:val="nil"/>
              <w:bottom w:val="nil"/>
              <w:right w:val="nil"/>
            </w:tcBorders>
          </w:tcPr>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2C42C9" w:rsidRPr="00107991" w:rsidRDefault="000A7219" w:rsidP="00CC081A">
            <w:pPr>
              <w:jc w:val="center"/>
              <w:rPr>
                <w:sz w:val="20"/>
              </w:rPr>
            </w:pPr>
            <w:r>
              <w:rPr>
                <w:sz w:val="20"/>
              </w:rPr>
              <w:t>12.07.2022 Д.Н.Зародов</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84" w:rsidRDefault="00065B84" w:rsidP="002C42C9">
      <w:r>
        <w:separator/>
      </w:r>
    </w:p>
  </w:endnote>
  <w:endnote w:type="continuationSeparator" w:id="0">
    <w:p w:rsidR="00065B84" w:rsidRDefault="00065B84"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84" w:rsidRDefault="00065B84" w:rsidP="002C42C9">
      <w:r>
        <w:separator/>
      </w:r>
    </w:p>
  </w:footnote>
  <w:footnote w:type="continuationSeparator" w:id="0">
    <w:p w:rsidR="00065B84" w:rsidRDefault="00065B84"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42C9"/>
    <w:rsid w:val="00065B84"/>
    <w:rsid w:val="00085ACD"/>
    <w:rsid w:val="00097C82"/>
    <w:rsid w:val="000A7219"/>
    <w:rsid w:val="000A7B23"/>
    <w:rsid w:val="000C0060"/>
    <w:rsid w:val="000C1F39"/>
    <w:rsid w:val="001126D6"/>
    <w:rsid w:val="00224D2F"/>
    <w:rsid w:val="002C42C9"/>
    <w:rsid w:val="003460F8"/>
    <w:rsid w:val="003B08FB"/>
    <w:rsid w:val="0048760D"/>
    <w:rsid w:val="005C03B2"/>
    <w:rsid w:val="005E7F81"/>
    <w:rsid w:val="006016AF"/>
    <w:rsid w:val="006D54E0"/>
    <w:rsid w:val="00757BF0"/>
    <w:rsid w:val="00A64FF8"/>
    <w:rsid w:val="00BA1B23"/>
    <w:rsid w:val="00C179D7"/>
    <w:rsid w:val="00C8459B"/>
    <w:rsid w:val="00E6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13</cp:revision>
  <dcterms:created xsi:type="dcterms:W3CDTF">2022-06-27T08:06:00Z</dcterms:created>
  <dcterms:modified xsi:type="dcterms:W3CDTF">2022-07-21T10:34:00Z</dcterms:modified>
</cp:coreProperties>
</file>