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8.6pt" o:ole="">
            <v:imagedata r:id="rId8" o:title=""/>
          </v:shape>
          <o:OLEObject Type="Embed" ProgID="CorelDRAW.Graphic.9" ShapeID="_x0000_i1025" DrawAspect="Content" ObjectID="_1702099689" r:id="rId9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576A33" w:rsidRDefault="008C2AE2">
      <w:pPr>
        <w:jc w:val="center"/>
        <w:rPr>
          <w:sz w:val="26"/>
          <w:szCs w:val="26"/>
        </w:rPr>
      </w:pPr>
    </w:p>
    <w:p w:rsidR="008C2AE2" w:rsidRPr="00576A33" w:rsidRDefault="008C2AE2">
      <w:pPr>
        <w:jc w:val="center"/>
        <w:rPr>
          <w:sz w:val="26"/>
          <w:szCs w:val="26"/>
        </w:rPr>
      </w:pPr>
    </w:p>
    <w:p w:rsidR="00910743" w:rsidRDefault="00DF2248" w:rsidP="00910743">
      <w:pPr>
        <w:jc w:val="both"/>
        <w:rPr>
          <w:sz w:val="26"/>
          <w:szCs w:val="26"/>
        </w:rPr>
      </w:pPr>
      <w:r w:rsidRPr="006C69F1">
        <w:rPr>
          <w:sz w:val="26"/>
          <w:szCs w:val="26"/>
        </w:rPr>
        <w:t>2</w:t>
      </w:r>
      <w:r w:rsidR="006C69F1">
        <w:rPr>
          <w:sz w:val="26"/>
          <w:szCs w:val="26"/>
        </w:rPr>
        <w:t>7</w:t>
      </w:r>
      <w:r w:rsidR="00A106FA" w:rsidRPr="006C69F1">
        <w:rPr>
          <w:sz w:val="26"/>
          <w:szCs w:val="26"/>
        </w:rPr>
        <w:t>.12.20</w:t>
      </w:r>
      <w:r w:rsidRPr="006C69F1">
        <w:rPr>
          <w:sz w:val="26"/>
          <w:szCs w:val="26"/>
        </w:rPr>
        <w:t>2</w:t>
      </w:r>
      <w:r w:rsidR="006C69F1">
        <w:rPr>
          <w:sz w:val="26"/>
          <w:szCs w:val="26"/>
        </w:rPr>
        <w:t>1</w:t>
      </w:r>
      <w:r w:rsidR="00910743" w:rsidRPr="006C69F1">
        <w:rPr>
          <w:sz w:val="26"/>
          <w:szCs w:val="26"/>
        </w:rPr>
        <w:t xml:space="preserve"> № </w:t>
      </w:r>
      <w:r w:rsidR="006C69F1">
        <w:rPr>
          <w:sz w:val="26"/>
          <w:szCs w:val="26"/>
        </w:rPr>
        <w:t>54</w:t>
      </w:r>
    </w:p>
    <w:p w:rsidR="00910743" w:rsidRDefault="00910743" w:rsidP="00910743">
      <w:pPr>
        <w:jc w:val="both"/>
        <w:rPr>
          <w:sz w:val="26"/>
          <w:szCs w:val="26"/>
        </w:rPr>
      </w:pPr>
    </w:p>
    <w:p w:rsidR="00576A33" w:rsidRDefault="00576A33" w:rsidP="00910743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10743" w:rsidRPr="00140F42" w:rsidTr="00D13F8B">
        <w:tc>
          <w:tcPr>
            <w:tcW w:w="4644" w:type="dxa"/>
          </w:tcPr>
          <w:p w:rsidR="00CD13C3" w:rsidRPr="00CD13C3" w:rsidRDefault="00910743" w:rsidP="00CD13C3">
            <w:pPr>
              <w:rPr>
                <w:sz w:val="26"/>
                <w:szCs w:val="26"/>
              </w:rPr>
            </w:pPr>
            <w:r w:rsidRPr="00140F42">
              <w:rPr>
                <w:sz w:val="26"/>
                <w:szCs w:val="26"/>
              </w:rPr>
              <w:t xml:space="preserve">Об утверждении </w:t>
            </w:r>
            <w:r w:rsidR="00CD13C3" w:rsidRPr="00CD13C3">
              <w:rPr>
                <w:sz w:val="26"/>
                <w:szCs w:val="26"/>
              </w:rPr>
              <w:t>План</w:t>
            </w:r>
            <w:r w:rsidR="00CD13C3">
              <w:rPr>
                <w:sz w:val="26"/>
                <w:szCs w:val="26"/>
              </w:rPr>
              <w:t>а</w:t>
            </w:r>
            <w:r w:rsidR="00CD13C3" w:rsidRPr="00CD13C3">
              <w:rPr>
                <w:sz w:val="26"/>
                <w:szCs w:val="26"/>
              </w:rPr>
              <w:t xml:space="preserve"> контрольно-счетной палаты города Череповца по противодействию коррупции на 20</w:t>
            </w:r>
            <w:r w:rsidR="004F6941">
              <w:rPr>
                <w:sz w:val="26"/>
                <w:szCs w:val="26"/>
              </w:rPr>
              <w:t>2</w:t>
            </w:r>
            <w:r w:rsidR="0079273C">
              <w:rPr>
                <w:sz w:val="26"/>
                <w:szCs w:val="26"/>
              </w:rPr>
              <w:t>2</w:t>
            </w:r>
            <w:r w:rsidR="00CD13C3" w:rsidRPr="00CD13C3">
              <w:rPr>
                <w:sz w:val="26"/>
                <w:szCs w:val="26"/>
              </w:rPr>
              <w:t xml:space="preserve"> год</w:t>
            </w:r>
          </w:p>
          <w:p w:rsidR="00910743" w:rsidRPr="00140F42" w:rsidRDefault="00910743" w:rsidP="00576A33">
            <w:pPr>
              <w:rPr>
                <w:sz w:val="26"/>
                <w:szCs w:val="26"/>
              </w:rPr>
            </w:pPr>
          </w:p>
          <w:p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</w:tr>
    </w:tbl>
    <w:p w:rsidR="00576A33" w:rsidRDefault="00576A33" w:rsidP="00910743">
      <w:pPr>
        <w:jc w:val="both"/>
        <w:rPr>
          <w:sz w:val="26"/>
          <w:szCs w:val="26"/>
        </w:rPr>
      </w:pPr>
    </w:p>
    <w:p w:rsidR="002654DE" w:rsidRDefault="00910743" w:rsidP="006C69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 декабря 2008 года № 273-Ф</w:t>
      </w:r>
      <w:r w:rsidR="007A03E7">
        <w:rPr>
          <w:sz w:val="26"/>
          <w:szCs w:val="26"/>
        </w:rPr>
        <w:t>З</w:t>
      </w:r>
      <w:r w:rsidR="002654DE">
        <w:rPr>
          <w:sz w:val="26"/>
          <w:szCs w:val="26"/>
        </w:rPr>
        <w:t xml:space="preserve"> «О противодействии коррупции»</w:t>
      </w:r>
    </w:p>
    <w:p w:rsidR="00910743" w:rsidRDefault="00910743" w:rsidP="006C69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10743" w:rsidRPr="004F6941" w:rsidRDefault="004F6941" w:rsidP="004F694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910743" w:rsidRPr="004F6941">
        <w:rPr>
          <w:sz w:val="26"/>
          <w:szCs w:val="26"/>
        </w:rPr>
        <w:t>Утвердить прилагаем</w:t>
      </w:r>
      <w:r w:rsidR="00CD13C3" w:rsidRPr="004F6941">
        <w:rPr>
          <w:sz w:val="26"/>
          <w:szCs w:val="26"/>
        </w:rPr>
        <w:t>ый План контрольно-счетной палаты города Череповца по противодействию коррупции на 20</w:t>
      </w:r>
      <w:r w:rsidRPr="004F6941">
        <w:rPr>
          <w:sz w:val="26"/>
          <w:szCs w:val="26"/>
        </w:rPr>
        <w:t>2</w:t>
      </w:r>
      <w:r w:rsidR="0079273C">
        <w:rPr>
          <w:sz w:val="26"/>
          <w:szCs w:val="26"/>
        </w:rPr>
        <w:t>2</w:t>
      </w:r>
      <w:r w:rsidR="00CD13C3" w:rsidRPr="004F6941">
        <w:rPr>
          <w:sz w:val="26"/>
          <w:szCs w:val="26"/>
        </w:rPr>
        <w:t xml:space="preserve"> год</w:t>
      </w:r>
      <w:r w:rsidR="00DD6BF0" w:rsidRPr="004F6941">
        <w:rPr>
          <w:sz w:val="26"/>
          <w:szCs w:val="26"/>
        </w:rPr>
        <w:t>.</w:t>
      </w:r>
    </w:p>
    <w:p w:rsidR="00DD6BF0" w:rsidRPr="004F6941" w:rsidRDefault="004F6941" w:rsidP="004F69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9A589C" w:rsidRPr="004F6941">
        <w:rPr>
          <w:sz w:val="26"/>
          <w:szCs w:val="26"/>
        </w:rPr>
        <w:t xml:space="preserve">План по противодействию коррупции подлежит размещению на официальном </w:t>
      </w:r>
      <w:hyperlink r:id="rId10" w:history="1">
        <w:r w:rsidR="009A589C" w:rsidRPr="004F6941">
          <w:rPr>
            <w:sz w:val="26"/>
            <w:szCs w:val="26"/>
          </w:rPr>
          <w:t>интернет-сайте</w:t>
        </w:r>
      </w:hyperlink>
      <w:r w:rsidR="009A589C" w:rsidRPr="004F6941">
        <w:rPr>
          <w:sz w:val="26"/>
          <w:szCs w:val="26"/>
        </w:rPr>
        <w:t xml:space="preserve"> контрольно-счетной палаты города Череповца.</w:t>
      </w:r>
    </w:p>
    <w:p w:rsidR="00910743" w:rsidRPr="004F6941" w:rsidRDefault="004F6941" w:rsidP="004F694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910743" w:rsidRPr="004F6941">
        <w:rPr>
          <w:sz w:val="26"/>
          <w:szCs w:val="26"/>
        </w:rPr>
        <w:t xml:space="preserve">Контроль за исполнением настоящего </w:t>
      </w:r>
      <w:r w:rsidR="00EB4B5A" w:rsidRPr="004F6941">
        <w:rPr>
          <w:sz w:val="26"/>
          <w:szCs w:val="26"/>
        </w:rPr>
        <w:t>приказа</w:t>
      </w:r>
      <w:r w:rsidR="00910743" w:rsidRPr="004F6941">
        <w:rPr>
          <w:sz w:val="26"/>
          <w:szCs w:val="26"/>
        </w:rPr>
        <w:t xml:space="preserve"> </w:t>
      </w:r>
      <w:r w:rsidRPr="004F6941">
        <w:rPr>
          <w:sz w:val="26"/>
          <w:szCs w:val="26"/>
        </w:rPr>
        <w:t xml:space="preserve">возложить на заместителя председателя контрольно-счетной палаты города Череповца </w:t>
      </w:r>
      <w:r w:rsidR="0079273C">
        <w:rPr>
          <w:sz w:val="26"/>
          <w:szCs w:val="26"/>
        </w:rPr>
        <w:t>Пешнину И.А</w:t>
      </w:r>
      <w:r w:rsidR="00910743" w:rsidRPr="004F6941">
        <w:rPr>
          <w:sz w:val="26"/>
          <w:szCs w:val="26"/>
        </w:rPr>
        <w:t>.</w:t>
      </w:r>
    </w:p>
    <w:p w:rsidR="00910743" w:rsidRDefault="00910743" w:rsidP="004F6941">
      <w:pPr>
        <w:jc w:val="both"/>
        <w:rPr>
          <w:sz w:val="26"/>
          <w:szCs w:val="26"/>
        </w:rPr>
      </w:pPr>
    </w:p>
    <w:p w:rsidR="00910743" w:rsidRDefault="00910743" w:rsidP="00910743">
      <w:pPr>
        <w:jc w:val="both"/>
        <w:rPr>
          <w:sz w:val="26"/>
          <w:szCs w:val="26"/>
        </w:rPr>
      </w:pPr>
    </w:p>
    <w:p w:rsidR="00910743" w:rsidRDefault="00910743" w:rsidP="00910743">
      <w:pPr>
        <w:jc w:val="both"/>
        <w:rPr>
          <w:sz w:val="26"/>
          <w:szCs w:val="26"/>
        </w:rPr>
      </w:pPr>
    </w:p>
    <w:p w:rsidR="006B1351" w:rsidRDefault="00910743" w:rsidP="006B135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С.С.Ивахненко</w:t>
      </w: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925031" w:rsidRDefault="00925031" w:rsidP="002C2FAC">
      <w:pPr>
        <w:jc w:val="both"/>
        <w:rPr>
          <w:sz w:val="26"/>
          <w:szCs w:val="26"/>
        </w:rPr>
      </w:pPr>
    </w:p>
    <w:p w:rsidR="006C69F1" w:rsidRDefault="006C69F1" w:rsidP="002C2FAC">
      <w:pPr>
        <w:jc w:val="both"/>
        <w:rPr>
          <w:sz w:val="26"/>
          <w:szCs w:val="26"/>
        </w:rPr>
      </w:pPr>
    </w:p>
    <w:p w:rsidR="006C69F1" w:rsidRDefault="006C69F1" w:rsidP="002C2FAC">
      <w:pPr>
        <w:jc w:val="both"/>
        <w:rPr>
          <w:sz w:val="26"/>
          <w:szCs w:val="26"/>
        </w:rPr>
      </w:pPr>
    </w:p>
    <w:p w:rsidR="006C69F1" w:rsidRDefault="006C69F1" w:rsidP="002C2FAC">
      <w:pPr>
        <w:jc w:val="both"/>
        <w:rPr>
          <w:sz w:val="26"/>
          <w:szCs w:val="26"/>
        </w:rPr>
        <w:sectPr w:rsidR="006C69F1" w:rsidSect="006B1351">
          <w:headerReference w:type="even" r:id="rId11"/>
          <w:headerReference w:type="default" r:id="rId12"/>
          <w:type w:val="continuous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C2FAC" w:rsidRPr="002C2FAC" w:rsidTr="00C00759">
        <w:tc>
          <w:tcPr>
            <w:tcW w:w="4785" w:type="dxa"/>
          </w:tcPr>
          <w:p w:rsidR="002C2FAC" w:rsidRDefault="002C2FAC" w:rsidP="002C2FAC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6C69F1" w:rsidRDefault="006C69F1" w:rsidP="002C2FAC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6C69F1" w:rsidRPr="002C2FAC" w:rsidRDefault="006C69F1" w:rsidP="002C2FAC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2C2FAC" w:rsidRPr="002C2FAC" w:rsidRDefault="002C2FAC" w:rsidP="002C2FAC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>Утвержден</w:t>
            </w:r>
          </w:p>
          <w:p w:rsidR="002C2FAC" w:rsidRPr="002C2FAC" w:rsidRDefault="002C2FAC" w:rsidP="002C2FAC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приказом председателя контрольно-счетной палаты города Череповца </w:t>
            </w:r>
          </w:p>
          <w:p w:rsidR="006C69F1" w:rsidRPr="006C69F1" w:rsidRDefault="002C2FAC" w:rsidP="006C69F1">
            <w:pPr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от </w:t>
            </w:r>
            <w:r w:rsidR="006C69F1" w:rsidRPr="006C69F1">
              <w:rPr>
                <w:rFonts w:ascii="Times New Roman" w:eastAsia="Calibri" w:hAnsi="Times New Roman"/>
                <w:bCs/>
                <w:sz w:val="26"/>
                <w:szCs w:val="26"/>
              </w:rPr>
              <w:t>27.12.2021 № 54</w:t>
            </w:r>
          </w:p>
          <w:p w:rsidR="002C2FAC" w:rsidRPr="002C2FAC" w:rsidRDefault="002C2FAC" w:rsidP="00DF2248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</w:tr>
    </w:tbl>
    <w:p w:rsidR="002C2FAC" w:rsidRPr="002C2FAC" w:rsidRDefault="002C2FAC" w:rsidP="002C2FAC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bCs/>
          <w:sz w:val="26"/>
          <w:szCs w:val="26"/>
          <w:lang w:eastAsia="en-US"/>
        </w:rPr>
        <w:t xml:space="preserve">План </w:t>
      </w:r>
    </w:p>
    <w:p w:rsidR="00DF2248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bCs/>
          <w:sz w:val="26"/>
          <w:szCs w:val="26"/>
          <w:lang w:eastAsia="en-US"/>
        </w:rPr>
        <w:t xml:space="preserve">контрольно-счетной палаты города Череповца по противодействию </w:t>
      </w: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bCs/>
          <w:sz w:val="26"/>
          <w:szCs w:val="26"/>
          <w:lang w:eastAsia="en-US"/>
        </w:rPr>
        <w:t>коррупции на 202</w:t>
      </w:r>
      <w:r w:rsidR="0079273C">
        <w:rPr>
          <w:rFonts w:eastAsia="Calibri"/>
          <w:b/>
          <w:bCs/>
          <w:sz w:val="26"/>
          <w:szCs w:val="26"/>
          <w:lang w:eastAsia="en-US"/>
        </w:rPr>
        <w:t>2</w:t>
      </w:r>
      <w:r w:rsidRPr="002C2FAC">
        <w:rPr>
          <w:rFonts w:eastAsia="Calibri"/>
          <w:b/>
          <w:bCs/>
          <w:sz w:val="26"/>
          <w:szCs w:val="26"/>
          <w:lang w:eastAsia="en-US"/>
        </w:rPr>
        <w:t xml:space="preserve"> год</w:t>
      </w:r>
    </w:p>
    <w:p w:rsidR="002C2FAC" w:rsidRPr="002C2FAC" w:rsidRDefault="002C2FAC" w:rsidP="002C2FAC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1.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нормативному обеспечению противодействия коррупции</w:t>
      </w:r>
    </w:p>
    <w:p w:rsidR="002C2FAC" w:rsidRPr="002C2FAC" w:rsidRDefault="002C2FAC" w:rsidP="002C2FAC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7"/>
        <w:gridCol w:w="1940"/>
        <w:gridCol w:w="1541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нормативных правовых актов о противодействии коррупции, в том числе о внесении изменений и дополнений норм антикоррупционной направленности в правовые акты контрольно-счетной палаты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При необходимости в связи с принятием соответствующего нормативного акта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Мониторинг и анализ нормативных правовых актов, касающихся сферы контроля направлений деятельности контрольно-счетной палаты в соответствии с ее компетенцией, на предмет выявления коррупциогенных положений, а также для устранения противоречий и пробелов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о представлении гражданами, поступающими на муниципальную службу,</w:t>
            </w:r>
            <w:r w:rsidR="00685012">
              <w:rPr>
                <w:rFonts w:eastAsia="Calibri"/>
                <w:sz w:val="26"/>
                <w:szCs w:val="26"/>
                <w:lang w:eastAsia="en-US"/>
              </w:rPr>
              <w:t xml:space="preserve"> муниципальные должности,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 а также муниципальными  служащими сведений о полученных доходах, расходах и принадлежащем им на праве собственности имуществе и об обязательствах имущественного характера, а также членов своей семьи – супруга (супруги) и несовершеннолетних детей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Постоянно, в связи с принятием соответствующих нормативных правовых актов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</w:tbl>
    <w:p w:rsidR="002C2FAC" w:rsidRPr="002C2FAC" w:rsidRDefault="002C2FAC" w:rsidP="002C2FAC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2C2FAC" w:rsidRPr="002C2FAC" w:rsidRDefault="002C2FAC" w:rsidP="002C2FAC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2.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противодействию коррупции, осуществляемые в ходе контрольной деятельности</w:t>
      </w:r>
    </w:p>
    <w:p w:rsidR="002C2FAC" w:rsidRPr="002C2FAC" w:rsidRDefault="002C2FAC" w:rsidP="002C2FAC">
      <w:pPr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0"/>
        <w:gridCol w:w="1542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выбора объектов контрольных мероприятий с учетом периодичности проверок и имеющихся рисков, в том числе коррупционной направленности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особого контроля за расходованием бюджетных средств в сферах и в проверяемых органах (организациях), подверженных наибольшей коррупциогенности (коррупционным рискам)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Обеспечение при проведении контрольных мероприятий проверки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предупреждения конфликта интересов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взаимодействия палаты с правоохранительными органами с целью направления информации о выявленных коррупционных правонарушениях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D861EB" w:rsidRPr="002C2FAC" w:rsidTr="00C00759">
        <w:trPr>
          <w:jc w:val="center"/>
        </w:trPr>
        <w:tc>
          <w:tcPr>
            <w:tcW w:w="567" w:type="dxa"/>
          </w:tcPr>
          <w:p w:rsidR="00D861EB" w:rsidRPr="002C2FAC" w:rsidRDefault="00D861EB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158" w:type="dxa"/>
          </w:tcPr>
          <w:p w:rsidR="00D861EB" w:rsidRPr="002C2FAC" w:rsidRDefault="00D861EB" w:rsidP="002C2FA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861EB">
              <w:rPr>
                <w:rFonts w:eastAsia="Calibri"/>
                <w:bCs/>
                <w:sz w:val="26"/>
                <w:szCs w:val="26"/>
                <w:lang w:eastAsia="en-US"/>
              </w:rPr>
              <w:t>Участие в</w:t>
            </w:r>
            <w:r w:rsidRPr="00D861EB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D861EB">
              <w:rPr>
                <w:rFonts w:eastAsia="Calibri"/>
                <w:bCs/>
                <w:sz w:val="26"/>
                <w:szCs w:val="26"/>
                <w:lang w:eastAsia="en-US"/>
              </w:rPr>
              <w:t>совместных с правоохранительными органами проверках 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20" w:type="dxa"/>
          </w:tcPr>
          <w:p w:rsidR="00D861EB" w:rsidRPr="002C2FAC" w:rsidRDefault="00D861EB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542" w:type="dxa"/>
          </w:tcPr>
          <w:p w:rsidR="00D861EB" w:rsidRPr="002C2FAC" w:rsidRDefault="00D861EB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</w:tbl>
    <w:p w:rsidR="002C2FAC" w:rsidRPr="002C2FAC" w:rsidRDefault="002C2FAC" w:rsidP="002C2FAC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3.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порядка прохождения муниципальной службы и стимулированию добросовестного исполнения обязанностей сотрудниками контрольно-счетной палаты города Череповца</w:t>
      </w:r>
    </w:p>
    <w:p w:rsidR="002C2FAC" w:rsidRPr="002C2FAC" w:rsidRDefault="002C2FAC" w:rsidP="002C2FAC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097"/>
        <w:gridCol w:w="1921"/>
        <w:gridCol w:w="1528"/>
      </w:tblGrid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D861EB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Проведение проверки кандидатов на должности муниципальной службы палаты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Проведение служебных расследований в случае поступления сведений о коррупционных проявлениях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комиссия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Организация работы по соблюдению муниципальными служащими ограничений, запретов и исполнения обязанностей, касающихся получения и порядка сдачи подарков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учета при заключении трудовых договоров, отражение в служебных характеристиках, при аттестации, рассмотрении вопросов продвижения по службе, представления к поощрению и пр. соблюдения и выполнения сотрудниками требова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ний законодательства, локальных нормативных правовых актов палаты, в том числе антикоррупционной направленности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D861E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Проведение анализа предоставляемых кандидатами на должности муниципальной службы в палате, а также членами их семьи сведений о доходах, расходах, об имуществе и обязательствах имущественного характера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 мере предоставления сведений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D861E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муниципальные служащие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D861E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Проведение разъяснительной работы со служащими палаты по вопросам: 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br/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- формирование негативного отношения к коррупции, дарению подарков;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-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D861E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Организация проверок соблюдения муниципальными служащими запретов и ограничений, предусмотренных законодательством, в рамках проверок соблюдения законодательства по вопросам муниципальной службы, выявление 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с применением соответствующих мер ответственности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</w:tbl>
    <w:p w:rsidR="002C2FAC" w:rsidRPr="002C2FAC" w:rsidRDefault="002C2FAC" w:rsidP="002C2FAC">
      <w:pPr>
        <w:keepNext/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4.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повышению профессионального уровня сотрудников контрольно-счетной палаты города Череповца</w:t>
      </w:r>
    </w:p>
    <w:p w:rsidR="002C2FAC" w:rsidRPr="002C2FAC" w:rsidRDefault="002C2FAC" w:rsidP="002C2FAC">
      <w:pPr>
        <w:keepNext/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39"/>
        <w:gridCol w:w="1542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Участие в  мероприятиях с сотрудниками иных органов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Совершенствование системы подготовки и повышения квалификации муниципальных служащих палаты, занятых в области закупок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D861EB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Оказание консультативной помощи по вопросам, связанным с применением на практике общих прин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ципов служебного поведения муниципальных служащих.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</w:tbl>
    <w:p w:rsidR="002C2FAC" w:rsidRPr="002C2FAC" w:rsidRDefault="002C2FAC" w:rsidP="002C2FAC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>Раздел 5.</w:t>
      </w:r>
      <w:r w:rsidRPr="002C2FAC">
        <w:rPr>
          <w:rFonts w:eastAsia="Calibri"/>
          <w:sz w:val="26"/>
          <w:szCs w:val="26"/>
          <w:lang w:eastAsia="en-US"/>
        </w:rPr>
        <w:t xml:space="preserve">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управленческого процесса в контрольно-счетной палате города Череповца</w:t>
      </w:r>
    </w:p>
    <w:p w:rsidR="002C2FAC" w:rsidRPr="002C2FAC" w:rsidRDefault="002C2FAC" w:rsidP="002C2FAC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9"/>
        <w:gridCol w:w="1939"/>
        <w:gridCol w:w="1542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Возложение на отдельных должностных лиц функций по противодействию коррупции и внутреннего контроля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C2FAC" w:rsidRPr="002C2FAC" w:rsidTr="00C00759">
        <w:trPr>
          <w:trHeight w:val="989"/>
          <w:jc w:val="center"/>
        </w:trPr>
        <w:tc>
          <w:tcPr>
            <w:tcW w:w="567" w:type="dxa"/>
          </w:tcPr>
          <w:p w:rsidR="002C2FAC" w:rsidRPr="002C2FAC" w:rsidRDefault="00D861EB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ind w:left="-42" w:firstLine="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Учет коррупционных факторов и рисков при осуществлении ротации сотрудников внутри направлений деятельности палаты 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ind w:left="-42" w:firstLine="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добросовестности, открытости, добросовестной конкуренции и объективности  при осуществлении закупок товаров, работ, услуг для обеспечения муниципальных нужд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ind w:firstLine="13"/>
              <w:jc w:val="both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Содействие в обеспечении соблюдения сотрудниками палаты  этических норм, правил профессионального поведения и взаимоотношений сотрудников.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информационной безопасности, обеспечение надлежащего хранения документов ограниченного доступа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</w:tbl>
    <w:p w:rsidR="002C2FAC" w:rsidRPr="002C2FAC" w:rsidRDefault="002C2FAC" w:rsidP="002C2FAC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>Раздел 6.</w:t>
      </w:r>
      <w:r w:rsidRPr="002C2FAC">
        <w:rPr>
          <w:rFonts w:eastAsia="Calibri"/>
          <w:sz w:val="26"/>
          <w:szCs w:val="26"/>
          <w:lang w:eastAsia="en-US"/>
        </w:rPr>
        <w:t xml:space="preserve">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взаимодействия контрольно-счетной палаты города Череповца с органами местного самоуправления, правоохранительными органами,  институтами гражданского общества и средствами массовой информации в области борьбы с коррупцией</w:t>
      </w:r>
    </w:p>
    <w:p w:rsidR="002C2FAC" w:rsidRPr="002C2FAC" w:rsidRDefault="002C2FAC" w:rsidP="002C2FAC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3"/>
        <w:gridCol w:w="1558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Участие в работе городского Совета по противодействию коррупции в городе Череповце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обращению в уполномоченные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 По мере необходимости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особого внимания обращениям граждан, содержащим информацию о проявлениях коррупции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D861EB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Анализ работы с обращениями граждан и организаций, содержащими информацию коррупционной направленности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Рассмотрение вопросов правоприменительной практики 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Последнее число третьего месяца кварта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ла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консультант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D861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  <w:r w:rsidR="00D861E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Ведение раздела официального сайта контрольно-счетной палаты города «Противодействие коррупции» в соответствии с требованиями законодательства о противодействии коррупции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23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консультант</w:t>
            </w:r>
          </w:p>
        </w:tc>
      </w:tr>
    </w:tbl>
    <w:p w:rsidR="00CD13C3" w:rsidRDefault="00CD13C3" w:rsidP="002C2FAC">
      <w:pPr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sectPr w:rsidR="00CD13C3" w:rsidSect="00AF659F">
      <w:type w:val="continuous"/>
      <w:pgSz w:w="11906" w:h="16838" w:code="9"/>
      <w:pgMar w:top="340" w:right="567" w:bottom="1134" w:left="1701" w:header="79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6F" w:rsidRDefault="00C6416F" w:rsidP="001A3CB8">
      <w:r>
        <w:separator/>
      </w:r>
    </w:p>
  </w:endnote>
  <w:endnote w:type="continuationSeparator" w:id="0">
    <w:p w:rsidR="00C6416F" w:rsidRDefault="00C6416F" w:rsidP="001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6F" w:rsidRDefault="00C6416F" w:rsidP="001A3CB8">
      <w:r>
        <w:separator/>
      </w:r>
    </w:p>
  </w:footnote>
  <w:footnote w:type="continuationSeparator" w:id="0">
    <w:p w:rsidR="00C6416F" w:rsidRDefault="00C6416F" w:rsidP="001A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753991"/>
      <w:docPartObj>
        <w:docPartGallery w:val="Page Numbers (Top of Page)"/>
        <w:docPartUnique/>
      </w:docPartObj>
    </w:sdtPr>
    <w:sdtEndPr/>
    <w:sdtContent>
      <w:p w:rsidR="006B1351" w:rsidRDefault="006B1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351" w:rsidRDefault="006B13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2894"/>
      <w:docPartObj>
        <w:docPartGallery w:val="Page Numbers (Top of Page)"/>
        <w:docPartUnique/>
      </w:docPartObj>
    </w:sdtPr>
    <w:sdtEndPr/>
    <w:sdtContent>
      <w:p w:rsidR="00AF659F" w:rsidRDefault="00AF65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F1">
          <w:rPr>
            <w:noProof/>
          </w:rPr>
          <w:t>4</w:t>
        </w:r>
        <w:r>
          <w:fldChar w:fldCharType="end"/>
        </w:r>
      </w:p>
    </w:sdtContent>
  </w:sdt>
  <w:p w:rsidR="00AF659F" w:rsidRDefault="00AF65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9EC"/>
    <w:multiLevelType w:val="hybridMultilevel"/>
    <w:tmpl w:val="CFA8EC82"/>
    <w:lvl w:ilvl="0" w:tplc="2A00C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A4B72"/>
    <w:rsid w:val="000A5610"/>
    <w:rsid w:val="000B56DD"/>
    <w:rsid w:val="000D7923"/>
    <w:rsid w:val="000F3181"/>
    <w:rsid w:val="0011189E"/>
    <w:rsid w:val="001509AD"/>
    <w:rsid w:val="00173EB2"/>
    <w:rsid w:val="001A3CB8"/>
    <w:rsid w:val="001B221F"/>
    <w:rsid w:val="001C7A5A"/>
    <w:rsid w:val="001D6526"/>
    <w:rsid w:val="00203CE1"/>
    <w:rsid w:val="00203E1E"/>
    <w:rsid w:val="002636C7"/>
    <w:rsid w:val="002654DE"/>
    <w:rsid w:val="00283B72"/>
    <w:rsid w:val="002C2FAC"/>
    <w:rsid w:val="002D32D1"/>
    <w:rsid w:val="002F3F9B"/>
    <w:rsid w:val="00303404"/>
    <w:rsid w:val="00323107"/>
    <w:rsid w:val="003C243D"/>
    <w:rsid w:val="003C75B9"/>
    <w:rsid w:val="003D13D5"/>
    <w:rsid w:val="003D3177"/>
    <w:rsid w:val="003D5BD0"/>
    <w:rsid w:val="003E7CB8"/>
    <w:rsid w:val="003F73A6"/>
    <w:rsid w:val="004005A8"/>
    <w:rsid w:val="00410355"/>
    <w:rsid w:val="004A28E0"/>
    <w:rsid w:val="004F6941"/>
    <w:rsid w:val="00503960"/>
    <w:rsid w:val="00544EAA"/>
    <w:rsid w:val="005638EA"/>
    <w:rsid w:val="00576A33"/>
    <w:rsid w:val="00581EB9"/>
    <w:rsid w:val="005A0FE2"/>
    <w:rsid w:val="006643AD"/>
    <w:rsid w:val="00685012"/>
    <w:rsid w:val="006A73E8"/>
    <w:rsid w:val="006B1351"/>
    <w:rsid w:val="006B7703"/>
    <w:rsid w:val="006C69F1"/>
    <w:rsid w:val="00710D81"/>
    <w:rsid w:val="00720225"/>
    <w:rsid w:val="0079273C"/>
    <w:rsid w:val="007A03E7"/>
    <w:rsid w:val="007A4B6E"/>
    <w:rsid w:val="007D6A9D"/>
    <w:rsid w:val="008009C0"/>
    <w:rsid w:val="008058DA"/>
    <w:rsid w:val="00833BA0"/>
    <w:rsid w:val="00834409"/>
    <w:rsid w:val="008C2AE2"/>
    <w:rsid w:val="00910743"/>
    <w:rsid w:val="009156A4"/>
    <w:rsid w:val="009206EC"/>
    <w:rsid w:val="00925031"/>
    <w:rsid w:val="0093131A"/>
    <w:rsid w:val="00940B06"/>
    <w:rsid w:val="009649C3"/>
    <w:rsid w:val="00984476"/>
    <w:rsid w:val="009A1E8C"/>
    <w:rsid w:val="009A589C"/>
    <w:rsid w:val="009D313A"/>
    <w:rsid w:val="009F448D"/>
    <w:rsid w:val="00A04A37"/>
    <w:rsid w:val="00A106FA"/>
    <w:rsid w:val="00A15E46"/>
    <w:rsid w:val="00A41935"/>
    <w:rsid w:val="00A90491"/>
    <w:rsid w:val="00AA50DA"/>
    <w:rsid w:val="00AC0DDC"/>
    <w:rsid w:val="00AF659F"/>
    <w:rsid w:val="00B60123"/>
    <w:rsid w:val="00B908DC"/>
    <w:rsid w:val="00BC59BF"/>
    <w:rsid w:val="00BD2639"/>
    <w:rsid w:val="00BE6DE9"/>
    <w:rsid w:val="00C34960"/>
    <w:rsid w:val="00C6416F"/>
    <w:rsid w:val="00CD13C3"/>
    <w:rsid w:val="00CE2002"/>
    <w:rsid w:val="00D13F8B"/>
    <w:rsid w:val="00D861EB"/>
    <w:rsid w:val="00D903F8"/>
    <w:rsid w:val="00D9317B"/>
    <w:rsid w:val="00DB48F7"/>
    <w:rsid w:val="00DD6BF0"/>
    <w:rsid w:val="00DF1454"/>
    <w:rsid w:val="00DF2248"/>
    <w:rsid w:val="00E03A3F"/>
    <w:rsid w:val="00E22BF3"/>
    <w:rsid w:val="00E46323"/>
    <w:rsid w:val="00E464B5"/>
    <w:rsid w:val="00E55874"/>
    <w:rsid w:val="00EB4B5A"/>
    <w:rsid w:val="00ED79E9"/>
    <w:rsid w:val="00F02E8C"/>
    <w:rsid w:val="00F175E3"/>
    <w:rsid w:val="00F24922"/>
    <w:rsid w:val="00F65AC1"/>
    <w:rsid w:val="00F67E3C"/>
    <w:rsid w:val="00F951E1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276DA"/>
  <w15:docId w15:val="{52995780-5B30-4488-90C4-6D17CDF7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2C2F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2A92CDB5752FB8FF57665A3472FF69249B6A79FD28A6966C667B026B7849907CBE1894CAD7723D6E6669J3aA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D4196-E254-4BBE-8D03-9ABF9CD2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Багрова Елена Владимировна</cp:lastModifiedBy>
  <cp:revision>13</cp:revision>
  <cp:lastPrinted>2019-12-30T10:58:00Z</cp:lastPrinted>
  <dcterms:created xsi:type="dcterms:W3CDTF">2017-01-30T13:19:00Z</dcterms:created>
  <dcterms:modified xsi:type="dcterms:W3CDTF">2021-12-27T05:42:00Z</dcterms:modified>
</cp:coreProperties>
</file>