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8" w:rsidRPr="00BB47CC" w:rsidRDefault="00585E28" w:rsidP="00E16CE6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47CC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предназначены для </w:t>
      </w:r>
      <w:r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>субъектов</w:t>
      </w:r>
      <w:r w:rsidR="003A7891"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>малого и среднего предпринимательства, обеспечивающих занятость</w:t>
      </w:r>
      <w:r w:rsidR="003A7891"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B47CC">
        <w:rPr>
          <w:rFonts w:ascii="Times New Roman" w:hAnsi="Times New Roman" w:cs="Times New Roman"/>
          <w:b/>
          <w:bCs/>
          <w:iCs/>
          <w:sz w:val="28"/>
          <w:szCs w:val="28"/>
        </w:rPr>
        <w:t>граждан, отнесенных к категориям социально уязвимых</w:t>
      </w:r>
    </w:p>
    <w:p w:rsidR="003A7891" w:rsidRPr="00BB47CC" w:rsidRDefault="003A7891" w:rsidP="00E16CE6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E32" w:rsidRPr="00BB47CC" w:rsidRDefault="008C1E32" w:rsidP="00E16CE6">
      <w:pPr>
        <w:tabs>
          <w:tab w:val="left" w:pos="2560"/>
        </w:tabs>
        <w:spacing w:after="0" w:line="0" w:lineRule="atLeast"/>
        <w:ind w:right="-42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BB47CC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заявления</w:t>
      </w:r>
      <w:r w:rsidR="00585E28" w:rsidRPr="00BB47CC">
        <w:rPr>
          <w:rFonts w:ascii="Times New Roman" w:eastAsia="Georgia" w:hAnsi="Times New Roman" w:cs="Times New Roman"/>
          <w:b/>
          <w:sz w:val="28"/>
          <w:szCs w:val="28"/>
        </w:rPr>
        <w:t xml:space="preserve"> о</w:t>
      </w:r>
      <w:r w:rsidR="003A7891" w:rsidRPr="00BB47CC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Pr="00BB47CC">
        <w:rPr>
          <w:rFonts w:ascii="Times New Roman" w:eastAsia="Georgia" w:hAnsi="Times New Roman" w:cs="Times New Roman"/>
          <w:b/>
          <w:sz w:val="28"/>
          <w:szCs w:val="28"/>
        </w:rPr>
        <w:t>признании социальным предприятием (приложение № 1)</w:t>
      </w:r>
    </w:p>
    <w:p w:rsidR="003A7891" w:rsidRPr="003A7891" w:rsidRDefault="003A7891" w:rsidP="00E16CE6">
      <w:pPr>
        <w:tabs>
          <w:tab w:val="left" w:pos="994"/>
        </w:tabs>
        <w:spacing w:after="0" w:line="240" w:lineRule="auto"/>
        <w:ind w:right="-427"/>
        <w:jc w:val="both"/>
        <w:rPr>
          <w:rFonts w:ascii="Georgia" w:eastAsia="Georgia" w:hAnsi="Georgia"/>
          <w:sz w:val="24"/>
        </w:rPr>
      </w:pPr>
    </w:p>
    <w:p w:rsidR="003A7891" w:rsidRDefault="009A347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</w:r>
      <w:r w:rsidR="003A7891" w:rsidRPr="002152BD">
        <w:rPr>
          <w:rFonts w:ascii="Times New Roman" w:eastAsia="Georgia" w:hAnsi="Times New Roman" w:cs="Times New Roman"/>
          <w:sz w:val="28"/>
          <w:szCs w:val="28"/>
        </w:rPr>
        <w:t>1. В поле «Наименование уполномоченного органа» указывается Департамент экономического развития Вологодской области.</w:t>
      </w:r>
    </w:p>
    <w:p w:rsidR="00E5235B" w:rsidRPr="002152BD" w:rsidRDefault="00E5235B" w:rsidP="00E16CE6">
      <w:pPr>
        <w:numPr>
          <w:ilvl w:val="0"/>
          <w:numId w:val="1"/>
        </w:numPr>
        <w:tabs>
          <w:tab w:val="left" w:pos="994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2152BD" w:rsidRDefault="008C1E32" w:rsidP="00E16CE6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В поле «Наименование субъекта малого или среднего предпринимательства» заявители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сокращенное наименование юридического лица согласно сведениям ЕГРЮЛ, актуальным на дату обращения в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Уполномоченный орган.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Заявители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 w:rsidRP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E5235B" w:rsidRPr="002152BD" w:rsidRDefault="00E5235B" w:rsidP="00E16CE6">
      <w:pPr>
        <w:tabs>
          <w:tab w:val="left" w:pos="994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3. 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4. 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</w:t>
      </w:r>
      <w:proofErr w:type="gramStart"/>
      <w:r w:rsidRPr="002152BD">
        <w:rPr>
          <w:rFonts w:ascii="Times New Roman" w:eastAsia="Georgia" w:hAnsi="Times New Roman" w:cs="Times New Roman"/>
          <w:sz w:val="28"/>
          <w:szCs w:val="28"/>
        </w:rPr>
        <w:t>из</w:t>
      </w:r>
      <w:proofErr w:type="gramEnd"/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5. В поле «Полное наименование субъекта малого или среднего предпринимательства» заявители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6. 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bookmarkStart w:id="0" w:name="page150"/>
      <w:bookmarkEnd w:id="0"/>
      <w:r w:rsidRPr="002152BD">
        <w:rPr>
          <w:rFonts w:ascii="Times New Roman" w:eastAsia="Georgia" w:hAnsi="Times New Roman" w:cs="Times New Roman"/>
          <w:sz w:val="28"/>
          <w:szCs w:val="28"/>
        </w:rPr>
        <w:t>7. 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8. В поле «Наименование регистрирующего органа» указывается наименование регистрирующего органа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lastRenderedPageBreak/>
        <w:t>9. В поле «ИНН» указывается идентификационный номер налогоплательщика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10. В поле «КПП» указывается код причины постановки на учет согласно сведениям ЕГРЮЛ, актуальным на дату обращения в Уполномоченный орган. Заявители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11. В поле «Дата постановки на учет в налоговом органе» указывается дата согласно сведениям ЕГРЮЛ (ЕГРИП).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12. 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https://rmsp.nalog.ru</w:t>
      </w:r>
      <w:r w:rsidR="00D86201"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/</w:t>
      </w:r>
      <w:r w:rsidR="00560BDB">
        <w:rPr>
          <w:rStyle w:val="a5"/>
          <w:rFonts w:ascii="Times New Roman" w:eastAsia="Georgia" w:hAnsi="Times New Roman" w:cs="Times New Roman"/>
          <w:color w:val="0000FF"/>
          <w:sz w:val="28"/>
          <w:szCs w:val="28"/>
          <w:u w:val="single"/>
        </w:rPr>
        <w:footnoteReference w:id="1"/>
      </w:r>
      <w:r w:rsidR="00D86201"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.</w:t>
      </w:r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86201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13. В поле «Сведения о лице, имеющем право действовать от имени заявителя без доверенности» заявитель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2152B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  <w:bookmarkStart w:id="1" w:name="page151"/>
      <w:bookmarkEnd w:id="1"/>
    </w:p>
    <w:p w:rsidR="00E5235B" w:rsidRPr="002152BD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Pr="002152BD" w:rsidRDefault="00EE08A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14.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В поле «Осуществляемые виды деятельности заявителя» перечисляются коды всех видов деятельности в соответствии с ОКВЭД</w:t>
      </w:r>
      <w:proofErr w:type="gramStart"/>
      <w:r w:rsidR="008C1E32" w:rsidRPr="002152BD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="008C1E32" w:rsidRPr="002152BD">
        <w:rPr>
          <w:rFonts w:ascii="Times New Roman" w:eastAsia="Georgia" w:hAnsi="Times New Roman" w:cs="Times New Roman"/>
          <w:sz w:val="28"/>
          <w:szCs w:val="28"/>
        </w:rPr>
        <w:t xml:space="preserve"> согласно сведениям ЕГРЮЛ (ЕГРИП), актуальным на дату обращения в Уполномоченный орган.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Pr="002152BD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Заявитель-юридическое</w:t>
      </w:r>
      <w:proofErr w:type="spell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имени заявителя без доверенности», «Осуществляемые виды деятельности заявителя». В данном случае в указанных полях следует указать «</w:t>
      </w:r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см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>. ЕГРЮЛ».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Pr="002152BD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</w:t>
      </w:r>
      <w:proofErr w:type="spell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</w:t>
      </w:r>
      <w:r w:rsidRPr="002152BD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подтверждающего факт внесения записи», «Наименование регистрирующего органа», «ИНН», «КПП», «Осуществляемые виды деятельности заявителя».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В данном случае в указанных полях поле следует указать «</w:t>
      </w:r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см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>. ЕГРИП».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Pr="002152BD" w:rsidRDefault="00EE08A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  <w:t xml:space="preserve">15.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В поле «Сведения о заявителе»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</w:p>
    <w:p w:rsidR="008C1E32" w:rsidRPr="002152BD" w:rsidRDefault="008C1E32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1E32" w:rsidRDefault="008C1E32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Заявители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 w:rsidR="00EE08A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E5235B" w:rsidRPr="00EE08AB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Default="008C1E32" w:rsidP="00E16CE6">
      <w:pPr>
        <w:pStyle w:val="a6"/>
        <w:numPr>
          <w:ilvl w:val="0"/>
          <w:numId w:val="3"/>
        </w:numPr>
        <w:tabs>
          <w:tab w:val="left" w:pos="1277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E08AB">
        <w:rPr>
          <w:rFonts w:ascii="Times New Roman" w:eastAsia="Georgia" w:hAnsi="Times New Roman" w:cs="Times New Roman"/>
          <w:sz w:val="28"/>
          <w:szCs w:val="28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EE08AB">
        <w:rPr>
          <w:rFonts w:ascii="Times New Roman" w:eastAsia="Georgia" w:hAnsi="Times New Roman" w:cs="Times New Roman"/>
          <w:sz w:val="28"/>
          <w:szCs w:val="28"/>
        </w:rPr>
        <w:t>заявителя-юридического</w:t>
      </w:r>
      <w:proofErr w:type="spellEnd"/>
      <w:proofErr w:type="gramEnd"/>
      <w:r w:rsidRPr="00EE08AB">
        <w:rPr>
          <w:rFonts w:ascii="Times New Roman" w:eastAsia="Georgia" w:hAnsi="Times New Roman" w:cs="Times New Roman"/>
          <w:sz w:val="28"/>
          <w:szCs w:val="28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</w:t>
      </w:r>
    </w:p>
    <w:p w:rsidR="00E5235B" w:rsidRPr="00EE08AB" w:rsidRDefault="00E5235B" w:rsidP="00E16CE6">
      <w:pPr>
        <w:pStyle w:val="a6"/>
        <w:tabs>
          <w:tab w:val="left" w:pos="1277"/>
        </w:tabs>
        <w:spacing w:after="0" w:line="240" w:lineRule="auto"/>
        <w:ind w:left="709" w:right="-42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1E32" w:rsidRPr="002152BD" w:rsidRDefault="00EE08AB" w:rsidP="00E16CE6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случае</w:t>
      </w:r>
      <w:proofErr w:type="gramStart"/>
      <w:r w:rsidR="008C1E32" w:rsidRPr="002152BD">
        <w:rPr>
          <w:rFonts w:ascii="Times New Roman" w:eastAsia="Georgia" w:hAnsi="Times New Roman" w:cs="Times New Roman"/>
          <w:sz w:val="28"/>
          <w:szCs w:val="28"/>
        </w:rPr>
        <w:t>,</w:t>
      </w:r>
      <w:proofErr w:type="gramEnd"/>
      <w:r w:rsidR="008C1E32" w:rsidRPr="002152BD">
        <w:rPr>
          <w:rFonts w:ascii="Times New Roman" w:eastAsia="Georgia" w:hAnsi="Times New Roman" w:cs="Times New Roman"/>
          <w:sz w:val="28"/>
          <w:szCs w:val="28"/>
        </w:rPr>
        <w:t xml:space="preserve"> если заявитель включен </w:t>
      </w:r>
      <w:r w:rsidR="00D86201" w:rsidRPr="002152BD"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8C1E32" w:rsidRPr="002152BD">
        <w:rPr>
          <w:rFonts w:ascii="Times New Roman" w:eastAsia="Georgia" w:hAnsi="Times New Roman" w:cs="Times New Roman"/>
          <w:sz w:val="28"/>
          <w:szCs w:val="28"/>
        </w:rPr>
        <w:t>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D86201" w:rsidRPr="002152BD" w:rsidRDefault="00D86201" w:rsidP="00E16CE6">
      <w:pPr>
        <w:tabs>
          <w:tab w:val="left" w:pos="103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5235B" w:rsidRPr="00A0640F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A0640F">
        <w:rPr>
          <w:rFonts w:ascii="Times New Roman" w:eastAsia="Georgia" w:hAnsi="Times New Roman" w:cs="Times New Roman"/>
          <w:b/>
          <w:sz w:val="28"/>
          <w:szCs w:val="28"/>
        </w:rPr>
        <w:br w:type="page"/>
      </w:r>
    </w:p>
    <w:p w:rsidR="00A0640F" w:rsidRDefault="00A0640F" w:rsidP="00E16CE6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0F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</w:t>
      </w:r>
      <w:r w:rsidRPr="00A0640F">
        <w:rPr>
          <w:rFonts w:ascii="Times New Roman" w:hAnsi="Times New Roman" w:cs="Times New Roman"/>
          <w:b/>
          <w:bCs/>
          <w:sz w:val="28"/>
          <w:szCs w:val="28"/>
        </w:rPr>
        <w:t xml:space="preserve">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Pr="00A0640F">
        <w:rPr>
          <w:rFonts w:ascii="Times New Roman" w:hAnsi="Times New Roman" w:cs="Times New Roman"/>
          <w:b/>
          <w:bCs/>
          <w:sz w:val="28"/>
          <w:szCs w:val="28"/>
        </w:rPr>
        <w:t>общедоступными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640F" w:rsidRPr="00A0640F" w:rsidRDefault="00A0640F" w:rsidP="00E16CE6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638"/>
      </w:tblGrid>
      <w:tr w:rsidR="00A0640F" w:rsidRPr="00A0640F" w:rsidTr="00A064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40F" w:rsidRPr="00A0640F" w:rsidRDefault="00A0640F" w:rsidP="00E16CE6">
            <w:pPr>
              <w:spacing w:after="0" w:line="240" w:lineRule="auto"/>
              <w:ind w:right="-4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clear" w:pos="360"/>
          <w:tab w:val="num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признание налоговой тайны общедоступной заполняется по </w:t>
      </w:r>
      <w:hyperlink r:id="rId8" w:history="1">
        <w:r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утверждена Приказом ФНС России от 15.11.2016 N ММВ-7-17/615@. В нем же установлен и </w:t>
      </w:r>
      <w:hyperlink r:id="rId9" w:history="1">
        <w:r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заполняется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A0640F" w:rsidRPr="00A0640F" w:rsidRDefault="00A0640F" w:rsidP="00E16CE6">
      <w:pPr>
        <w:pStyle w:val="a6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руки чернилами черного, фиолетового или синего цвета;</w:t>
      </w:r>
    </w:p>
    <w:p w:rsidR="00A0640F" w:rsidRPr="00A0640F" w:rsidRDefault="00A0640F" w:rsidP="00E16CE6">
      <w:pPr>
        <w:pStyle w:val="a6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компьютере.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заполняются слева направо, начиная с первого знакоместа. Текст вносится заглавными печатными буквами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6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ячейках, которые остались пустыми, став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прочерки. Их можно не ставить, если согласие составляется на ПК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8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заполняется в отношении всех сведений, составляющих налоговую тайну, или только их части (</w:t>
      </w:r>
      <w:proofErr w:type="spellStart"/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1 ст. 102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</w:t>
      </w:r>
    </w:p>
    <w:p w:rsidR="006222E7" w:rsidRPr="00A0640F" w:rsidRDefault="004232E9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222E7"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Образец заполнения</w:t>
        </w:r>
      </w:hyperlink>
      <w:r w:rsidR="006222E7">
        <w:rPr>
          <w:rFonts w:ascii="Times New Roman" w:hAnsi="Times New Roman" w:cs="Times New Roman"/>
          <w:sz w:val="28"/>
          <w:szCs w:val="28"/>
        </w:rPr>
        <w:t xml:space="preserve"> согласия на признание налоговой тайны общедоступной по форме по КНД 1110058.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638"/>
      </w:tblGrid>
      <w:tr w:rsidR="00A0640F" w:rsidRPr="00A0640F" w:rsidTr="00A064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40F" w:rsidRPr="00A0640F" w:rsidRDefault="00A0640F" w:rsidP="00E16CE6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640F" w:rsidRPr="00A0640F" w:rsidRDefault="00A0640F" w:rsidP="00E16CE6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Как заполнить титульный лист согласия</w:t>
            </w:r>
          </w:p>
        </w:tc>
      </w:tr>
    </w:tbl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следующем порядке.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полях </w:t>
      </w:r>
      <w:r w:rsidR="006222E7"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ИНН»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6222E7"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КПП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части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проставляют ИНН и КПП;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 иные физические лица указывают только ИНН. В показателе "КПП" ставится прочерк.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Представляется в налоговый орган (код)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приводится четырехзначный код своей инспекции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13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организации, Ф.И.О. физического лица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полное наименование организации либо фамилия, имя, отчество, если заявление составляет ИП или физическое лицо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14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документе, удостоверяющем личность физического лица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заполняется, если в предыдущем поле указывали Ф.И.О. физического лица. В этом случае указывается код документа, удостоверяющего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согласно Приложению №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 заполнения согласия, в частности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 гражданина РФ;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 иностранного гражданина;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на жительство в России.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указывается серия, номер и дата выдачи документа.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2"/>
      <w:bookmarkEnd w:id="2"/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Дает согласие на признание следующих сведений, составляющих в соответствии со статьей 102 Налогового кодекса Российской Федерации налоговую тайну, общедоступными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«2»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16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Период, за который сведения, составляющие налоговую тайну, признаются общедоступными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даты начала и окончания такого периода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предоставляется согласие на период 20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то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так: с 01.01.20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</w:t>
      </w:r>
      <w:r w:rsidR="00C12E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составлено на страницах с приложением подтверждающих документов или их копий на листах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количество страниц, на которых составлено согласие, и количество листов документа, подтверждающего полномочия представителя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18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Достоверность и полноту сведений, указанных в настоящем согласии, подтверждаю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цифровой код того, кто подписывает согласие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нужно построчно указать фамилию, имя и отчество руководителя организации либо сведения о представителе. ИП и иные физические лица это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заполняют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указывается ваш контактный номер без пробелов, прочерков, скобок, например 84951234567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подписания. Если сдается согласие в электронной форме, то оно подписывается усиленной квалифицированной электронной подписью. Физическое лицо - не ИП может подписать его усиленной неквалифицированной электронной подписью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21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реквизиты документа, подтверждающего полномочия представителя налогоплательщика (плательщика страховых взносов)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данные документа: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имеет номер - указывается сначала знак "N", а далее номер документа;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номер </w:t>
      </w:r>
      <w:proofErr w:type="gramStart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- "б</w:t>
      </w:r>
      <w:proofErr w:type="gramEnd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указывается дата выдачи документа. Между наименованием документа, номером и датой выдачи документа пр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 пробелы. Например, «доверенность б/</w:t>
      </w:r>
      <w:proofErr w:type="spellStart"/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30.04.2019»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tbl>
      <w:tblPr>
        <w:tblW w:w="5222" w:type="pct"/>
        <w:tblLook w:val="04A0"/>
      </w:tblPr>
      <w:tblGrid>
        <w:gridCol w:w="10066"/>
      </w:tblGrid>
      <w:tr w:rsidR="00A0640F" w:rsidRPr="00A0640F" w:rsidTr="00E95FD3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40F" w:rsidRPr="00A0640F" w:rsidRDefault="00A0640F" w:rsidP="00E16CE6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FD3" w:rsidRDefault="006222E7" w:rsidP="00E95FD3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Как заполнить раздел «</w:t>
            </w:r>
            <w:r w:rsidR="00A0640F"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Коды сведений, составляющих </w:t>
            </w:r>
            <w:proofErr w:type="gramStart"/>
            <w:r w:rsidR="00A0640F"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налоговую</w:t>
            </w:r>
            <w:proofErr w:type="gramEnd"/>
            <w:r w:rsidR="00A0640F"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40F" w:rsidRPr="00E95FD3" w:rsidRDefault="00A0640F" w:rsidP="00E95FD3">
            <w:pPr>
              <w:tabs>
                <w:tab w:val="left" w:pos="567"/>
              </w:tabs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тайну</w:t>
            </w:r>
            <w:r w:rsidR="00622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A0640F" w:rsidRPr="00A0640F" w:rsidRDefault="00C12E63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0640F"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640F"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сведений, составляющих в соответствии со статьей 102 Налогового кодекса Росси</w:t>
      </w:r>
      <w:r w:rsid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налоговую тайну»</w:t>
      </w:r>
      <w:r w:rsidR="00A0640F"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0300, </w:t>
      </w:r>
      <w:r w:rsidR="00A0640F"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1100.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hAnsi="Times New Roman" w:cs="Times New Roman"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кода 1400</w:t>
      </w:r>
      <w:r w:rsid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прочерк.</w:t>
      </w:r>
    </w:p>
    <w:p w:rsidR="00A0640F" w:rsidRPr="00A0640F" w:rsidRDefault="00A0640F" w:rsidP="00E16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проставляется подпись и дата подписания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A0640F" w:rsidRPr="006222E7" w:rsidRDefault="00A0640F" w:rsidP="00E16CE6">
      <w:pPr>
        <w:pStyle w:val="a6"/>
        <w:numPr>
          <w:ilvl w:val="0"/>
          <w:numId w:val="1"/>
        </w:numPr>
        <w:ind w:right="-427"/>
      </w:pPr>
    </w:p>
    <w:p w:rsidR="00E16CE6" w:rsidRDefault="00E16CE6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16CE6" w:rsidRDefault="00E16CE6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16CE6" w:rsidRDefault="00E16CE6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D86201" w:rsidRPr="002152BD" w:rsidRDefault="00D86201" w:rsidP="00E16CE6">
      <w:pPr>
        <w:numPr>
          <w:ilvl w:val="0"/>
          <w:numId w:val="1"/>
        </w:numPr>
        <w:tabs>
          <w:tab w:val="left" w:pos="1033"/>
        </w:tabs>
        <w:spacing w:after="0" w:line="240" w:lineRule="auto"/>
        <w:ind w:right="-42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2152BD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отчета о социальном воздействии (приложение № </w:t>
      </w:r>
      <w:r w:rsidR="00025743">
        <w:rPr>
          <w:rFonts w:ascii="Times New Roman" w:eastAsia="Georgia" w:hAnsi="Times New Roman" w:cs="Times New Roman"/>
          <w:b/>
          <w:sz w:val="28"/>
          <w:szCs w:val="28"/>
        </w:rPr>
        <w:t>8</w:t>
      </w:r>
      <w:r w:rsidRPr="002152BD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D86201" w:rsidRPr="002152BD" w:rsidRDefault="00D86201" w:rsidP="00E16CE6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: заявители заполняют отчет о социальном воздействии по желанию. При этом настоятельно рекомендуется </w:t>
      </w:r>
      <w:proofErr w:type="gramStart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предоставить данный документ</w:t>
      </w:r>
      <w:proofErr w:type="gramEnd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в целях формирования у Уполномоченного органа более комплексного понимания характера осуществляемой социальной деятельности. 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:rsidR="00D86201" w:rsidRPr="00EE08AB" w:rsidRDefault="00EE08A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</w:r>
      <w:r w:rsidR="00D86201"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отчете о социальном воздействии в свободной форме приводится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</w:t>
      </w:r>
    </w:p>
    <w:p w:rsidR="00D86201" w:rsidRPr="00EE08AB" w:rsidRDefault="00D86201" w:rsidP="00E16CE6">
      <w:pPr>
        <w:numPr>
          <w:ilvl w:val="1"/>
          <w:numId w:val="1"/>
        </w:numPr>
        <w:tabs>
          <w:tab w:val="left" w:pos="709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«Цель социального предприятия» рекомендуется указывать цель – обеспечение занятости граждан, отнесенных к категориям социально уязвимых, а также конкретные категории граждан, трудоустройство которых осуществляет заявитель: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а) инвалиды и лица с ограниченными возможностями здоровья;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в) пенсионеры и граждане </w:t>
      </w:r>
      <w:proofErr w:type="spell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г) выпускники детских домов в возрасте до двадцати трех лет;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spell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) лица, освобожденные из мест лишения свободы и имеющие неснятую или непогашенную судимость;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е) беженцы и вынужденные переселенцы;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ж) малоимущие граждане;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spell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) лица без определенного места жительства и занятий;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и) граждане, не указанные в подпунктах "а" – "</w:t>
      </w:r>
      <w:proofErr w:type="spell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", признанные нуждающимися в социальном обслуживании. При указании данной категории граждан, отнесенных к категориям социально уязвимых, заявителю необходимо указать причины признания граждан </w:t>
      </w:r>
      <w:proofErr w:type="gram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нуждающимися</w:t>
      </w:r>
      <w:proofErr w:type="gram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 социальном обслуживании.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Пример: обеспечение занятости граждан, отнесенных к категориям социально уязвимых </w:t>
      </w: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–</w:t>
      </w: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обеспечение занятости инвалидов по зрению.</w:t>
      </w:r>
    </w:p>
    <w:p w:rsidR="00EE08AB" w:rsidRDefault="00A61E05" w:rsidP="00E16CE6">
      <w:pPr>
        <w:tabs>
          <w:tab w:val="left" w:pos="1172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page153"/>
      <w:bookmarkEnd w:id="3"/>
      <w:r w:rsidRPr="00EE0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86201" w:rsidRPr="00EE08AB" w:rsidRDefault="00EE08AB" w:rsidP="00E16CE6">
      <w:pPr>
        <w:tabs>
          <w:tab w:val="left" w:pos="1172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86201"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Примеры: трудности поиска работы и трудоустройства лиц, освобожденных из мест лишения свободы и имеющих неснятую или непогашенную </w:t>
      </w: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lastRenderedPageBreak/>
        <w:t>судимость; необходимость создания особых условий трудоустройства для инвалидов, позволяющих им участвовать в трудовой деятельности.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pStyle w:val="a6"/>
        <w:numPr>
          <w:ilvl w:val="0"/>
          <w:numId w:val="4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 заявитель.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pStyle w:val="a6"/>
        <w:numPr>
          <w:ilvl w:val="0"/>
          <w:numId w:val="4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201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Примеры: 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инвалидов.</w:t>
      </w:r>
    </w:p>
    <w:p w:rsidR="00EE08AB" w:rsidRPr="00EE08AB" w:rsidRDefault="00EE08A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</w:p>
    <w:p w:rsidR="00D86201" w:rsidRDefault="00D86201" w:rsidP="00E16CE6">
      <w:pPr>
        <w:numPr>
          <w:ilvl w:val="0"/>
          <w:numId w:val="4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благополучателям</w:t>
      </w:r>
      <w:proofErr w:type="spellEnd"/>
      <w:r w:rsidRPr="00EE08A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)» необходимо указать продукцию (товары, работы, услуги), которую производят социально уязвимые граждане, занятость которых обеспечивает заявитель, например, ремонт ключей, изготовление открыток, изготовление сувенирной продукции.</w:t>
      </w:r>
      <w:proofErr w:type="gramEnd"/>
    </w:p>
    <w:p w:rsidR="00560BDB" w:rsidRPr="00EE08AB" w:rsidRDefault="00560BDB" w:rsidP="00E16CE6">
      <w:pPr>
        <w:tabs>
          <w:tab w:val="left" w:pos="1114"/>
        </w:tabs>
        <w:spacing w:after="0" w:line="240" w:lineRule="auto"/>
        <w:ind w:left="709"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Пример заполнения приложения № </w:t>
      </w:r>
      <w:r w:rsidR="00025743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8</w:t>
      </w:r>
      <w:r w:rsidRPr="00EE08A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:</w:t>
      </w:r>
    </w:p>
    <w:p w:rsidR="00D86201" w:rsidRPr="00EE08AB" w:rsidRDefault="00D86201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Заявитель-организация, </w:t>
      </w:r>
      <w:proofErr w:type="gramStart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применяющая</w:t>
      </w:r>
      <w:proofErr w:type="gramEnd"/>
      <w:r w:rsidRPr="00EE08AB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:rsidR="00D86201" w:rsidRDefault="00D86201" w:rsidP="00E16CE6">
      <w:pPr>
        <w:spacing w:line="122" w:lineRule="exact"/>
        <w:ind w:right="-427"/>
        <w:rPr>
          <w:rFonts w:ascii="Times New Roman" w:eastAsia="Times New Roman" w:hAnsi="Times New Roman"/>
        </w:rPr>
      </w:pPr>
    </w:p>
    <w:p w:rsidR="00D86201" w:rsidRDefault="00D86201" w:rsidP="00E16CE6">
      <w:pPr>
        <w:spacing w:line="0" w:lineRule="atLeast"/>
        <w:ind w:left="3280" w:right="-427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Отчет о социальном воздействии</w:t>
      </w:r>
    </w:p>
    <w:tbl>
      <w:tblPr>
        <w:tblStyle w:val="a7"/>
        <w:tblW w:w="10064" w:type="dxa"/>
        <w:tblInd w:w="250" w:type="dxa"/>
        <w:tblLook w:val="04A0"/>
      </w:tblPr>
      <w:tblGrid>
        <w:gridCol w:w="709"/>
        <w:gridCol w:w="3294"/>
        <w:gridCol w:w="6061"/>
      </w:tblGrid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Необходимость создания особых условий трудоустройства для инвалидов, позволяющих им участвовать в трудовой деятельности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Инвалиды по зрению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A61E05" w:rsidRPr="00A61E05" w:rsidTr="00A61E05">
        <w:tc>
          <w:tcPr>
            <w:tcW w:w="709" w:type="dxa"/>
          </w:tcPr>
          <w:p w:rsidR="00A61E05" w:rsidRPr="00A61E05" w:rsidRDefault="00A61E05" w:rsidP="00E16CE6">
            <w:pPr>
              <w:pStyle w:val="a6"/>
              <w:numPr>
                <w:ilvl w:val="0"/>
                <w:numId w:val="2"/>
              </w:num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6061" w:type="dxa"/>
          </w:tcPr>
          <w:p w:rsidR="00A61E05" w:rsidRPr="00A61E05" w:rsidRDefault="00A61E05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Производство укупорочной продукции (пробок, крышек, колпачков)</w:t>
            </w:r>
          </w:p>
        </w:tc>
      </w:tr>
    </w:tbl>
    <w:p w:rsidR="00D86201" w:rsidRDefault="00D86201" w:rsidP="00E16CE6">
      <w:pPr>
        <w:spacing w:line="0" w:lineRule="atLeast"/>
        <w:ind w:right="-427"/>
        <w:rPr>
          <w:rFonts w:ascii="Georgia" w:eastAsia="Georgia" w:hAnsi="Georgia"/>
        </w:rPr>
      </w:pPr>
    </w:p>
    <w:p w:rsidR="002B761F" w:rsidRDefault="00952C6B" w:rsidP="00E16CE6">
      <w:pPr>
        <w:tabs>
          <w:tab w:val="left" w:pos="865"/>
        </w:tabs>
        <w:spacing w:after="0"/>
        <w:ind w:right="-42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bookmarkStart w:id="4" w:name="page154"/>
      <w:bookmarkStart w:id="5" w:name="page155"/>
      <w:bookmarkStart w:id="6" w:name="page156"/>
      <w:bookmarkEnd w:id="4"/>
      <w:bookmarkEnd w:id="5"/>
      <w:bookmarkEnd w:id="6"/>
      <w:r>
        <w:rPr>
          <w:rFonts w:ascii="Georgia" w:eastAsia="Georgia" w:hAnsi="Georgia"/>
          <w:b/>
          <w:sz w:val="24"/>
        </w:rPr>
        <w:tab/>
      </w:r>
      <w:r w:rsidR="002B761F" w:rsidRPr="00E16CE6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сведений о численности и заработной плате работников субъекта малого или среднего предпринимательства из</w:t>
      </w:r>
      <w:r w:rsidR="00E16CE6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="002B761F" w:rsidRPr="00E16CE6">
        <w:rPr>
          <w:rFonts w:ascii="Times New Roman" w:eastAsia="Georgia" w:hAnsi="Times New Roman" w:cs="Times New Roman"/>
          <w:b/>
          <w:sz w:val="28"/>
          <w:szCs w:val="28"/>
        </w:rPr>
        <w:t xml:space="preserve">числа категорий граждан, указанных в пункте 1 части 1 статьи 24.1 Федерального закона (приложение № </w:t>
      </w:r>
      <w:r w:rsidR="00025743">
        <w:rPr>
          <w:rFonts w:ascii="Times New Roman" w:eastAsia="Georgia" w:hAnsi="Times New Roman" w:cs="Times New Roman"/>
          <w:b/>
          <w:sz w:val="28"/>
          <w:szCs w:val="28"/>
        </w:rPr>
        <w:t>2</w:t>
      </w:r>
      <w:r w:rsidR="002B761F" w:rsidRPr="00E16CE6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E16CE6" w:rsidRPr="00E16CE6" w:rsidRDefault="00E16CE6" w:rsidP="00E16CE6">
      <w:pPr>
        <w:tabs>
          <w:tab w:val="left" w:pos="865"/>
        </w:tabs>
        <w:spacing w:after="0"/>
        <w:ind w:right="-42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2B761F" w:rsidRPr="00560BDB" w:rsidRDefault="002B761F" w:rsidP="00E16CE6">
      <w:pPr>
        <w:pStyle w:val="a6"/>
        <w:numPr>
          <w:ilvl w:val="0"/>
          <w:numId w:val="5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E16CE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«Среднесписочная численность работников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за предшествующий календарный год» по строке «Всего работников» заполняется на основе формы сведений о среднесписочной численности работников за предшествующий календарный год, утвержденной Приказом ФНС России от 29 марта 2007 года № ММ-3-25/174@ «Об утверждении формы Сведений о среднесписочной численности работников за предшествующий календарный год».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pStyle w:val="a6"/>
        <w:numPr>
          <w:ilvl w:val="0"/>
          <w:numId w:val="5"/>
        </w:numPr>
        <w:tabs>
          <w:tab w:val="left" w:pos="111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«Среднесписочная численность работников за предшествующий календарный год» по строкам, соответствующим категориям граждан, отнесенным к категориям социально уязвимых,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12, на основании данных табелей учета рабочего времени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2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Среднесписочная численность каждой категории работников за месяц исчисляется путем суммирования численности работников, осуществлявших трудовую деятельность хотя бы один рабочий день, за каждый календарный день месяца, то есть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с 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  <w:proofErr w:type="gramEnd"/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7" w:name="page159"/>
      <w:bookmarkEnd w:id="7"/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При расчете не нужно учитывать внешних совместителей и лиц, выполнявших работы по договорам гражданско-правового характера.</w:t>
      </w:r>
    </w:p>
    <w:p w:rsidR="002B761F" w:rsidRPr="00560BDB" w:rsidRDefault="00560BDB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</w:r>
      <w:r w:rsidR="00952C6B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случае отсутствия работников одной или нескольких категорий граждан, по соответствующей строке показателя «Среднесписочная численность работников за предшествующий календарный год» ставится прочерк.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>Показатель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строк 2.1 – 2.10): 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рассчитывается как сумма показателей, указанных в пункте 2 настоящей инструкции.</w:t>
      </w:r>
      <w:proofErr w:type="gramEnd"/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«Фонд начисленной заработной платы за предшествующий календарный год» по строке «Всего работники» заполняется на основании данных о сумме выплат работникам заявителя по трудовым договорам с учетом НДФЛ. При определении показателя необходимо учитывать суммы вознаграждений, полученных работниками в связи с выполнением трудовых обязанностей (в том числе в натуральной форме), премий за производственные результаты, отпускных выплат и компенсаций за неиспользованный отпуск.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Заявитель, не ведущий специальных регистров учета расчетов с персоналом по оплате труда, может рассчитать данный показатель на основе 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совокупности данных форм 2-НДФЛ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3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 следующем порядке: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«Фонд начисленной заработной платы за предшествующий календарный год» по строке «Всего работники» рассчитывается как сумма доходов, выплаченных работникам, по кодам: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</w:t>
      </w:r>
      <w:r w:rsid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го кодекса Российской Федерации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4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560BDB" w:rsidRPr="00560BDB" w:rsidRDefault="00560BD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</w:t>
      </w:r>
      <w:bookmarkStart w:id="8" w:name="page160"/>
      <w:bookmarkEnd w:id="8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(выплачиваемые не за счет сре</w:t>
      </w: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ибыли организации, не за счет средств специального назначения или целевых поступлений)»;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2012 «Суммы отпускных выплат»;</w:t>
      </w:r>
    </w:p>
    <w:p w:rsidR="00560BDB" w:rsidRPr="00560BDB" w:rsidRDefault="00560BD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2013 «Сумма компенсации за неиспользованный отпуск»;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2530 «Оплата труда в натуральной форме».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«Фонд начисленной заработной платы за предшествующий календарный год» по строкам, соответствующим категориям граждан, отнесенным к категориям социально уязвимых, может быть рассчитан как сумма доходов, выплаченных указанным работникам, по данным формы 2-НДФЛ</w:t>
      </w:r>
      <w:r w:rsidR="00560BDB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5"/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по кодам:</w:t>
      </w:r>
      <w:proofErr w:type="gramEnd"/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</w:t>
      </w: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ибыли организации, не за счет средств специального назначения или целевых поступлений)»;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2012 «Суммы отпускных выплат»;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2013 «Сумма компенсации за неиспользованный отпуск»;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2A2C03" w:rsidRDefault="002B761F" w:rsidP="00E16CE6">
      <w:pPr>
        <w:pStyle w:val="a6"/>
        <w:numPr>
          <w:ilvl w:val="0"/>
          <w:numId w:val="6"/>
        </w:numPr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spellStart"/>
      <w:r w:rsidRP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лата</w:t>
      </w:r>
      <w:proofErr w:type="spellEnd"/>
      <w:r w:rsidRP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труда в натуральной форме».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A2C03" w:rsidP="00E16CE6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 xml:space="preserve">В 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случае отсутствия работников одной или нескольких категорий граждан по соответствующей строке показателя «Фонд начисленной заработной платы за предшествующий календарный год» ставится прочерк.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numPr>
          <w:ilvl w:val="0"/>
          <w:numId w:val="5"/>
        </w:numPr>
        <w:tabs>
          <w:tab w:val="left" w:pos="1001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</w:t>
      </w:r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ации» </w:t>
      </w:r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 xml:space="preserve">(сумма строк 2.1 – 2.10)» 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рассчитывается как сумма показателей, указанных в пункте 6 настоящей инструкции.</w:t>
      </w:r>
      <w:proofErr w:type="gramEnd"/>
    </w:p>
    <w:p w:rsidR="002A2C03" w:rsidRPr="00560BDB" w:rsidRDefault="002A2C03" w:rsidP="00E16CE6">
      <w:pPr>
        <w:tabs>
          <w:tab w:val="left" w:pos="1001"/>
        </w:tabs>
        <w:spacing w:after="0" w:line="240" w:lineRule="auto"/>
        <w:ind w:left="709"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9" w:name="page161"/>
      <w:bookmarkEnd w:id="9"/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</w:t>
      </w:r>
      <w:proofErr w:type="gram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работников», </w:t>
      </w: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выраженное</w:t>
      </w:r>
      <w:proofErr w:type="gram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 процентах.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Пример заполнения приложения № </w:t>
      </w:r>
      <w:r w:rsidR="00025743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</w:t>
      </w:r>
      <w:r w:rsidRPr="00560BD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: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Заявитель - 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договора.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Согласно табелям учета рабочего времени у заявителя работают три пенсионера, </w:t>
      </w: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трое лиц</w:t>
      </w:r>
      <w:proofErr w:type="gram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, имеющих непогашенную судимость, двое выпускников детских домов в возрасте 21 и 22 года и двое других работников, не являющихся гражданами, отнесенными к категориям социально уязвимых.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952C6B" w:rsidP="00E16CE6">
      <w:pPr>
        <w:tabs>
          <w:tab w:val="left" w:pos="1073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течение года работники-пенсионеры и лица, имеющие непогашенную судимость, работали весь год; один из выпускников детского дома работал весь год, второй – с 5 января по 10 апреля; один из работников, не являющийся гражданином, отнесенным к категориям социально уязвимых – с 1 января по 15 июня, второй такой работник работал весь год.</w:t>
      </w:r>
      <w:proofErr w:type="gramEnd"/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Заявитель рассчитывает среднесписочную численность работников (далее – ССЧ) за каждый месяц года следующим образом (не учитываются внешние совместители и работники </w:t>
      </w:r>
      <w:proofErr w:type="spell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несписочного</w:t>
      </w:r>
      <w:proofErr w:type="spell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состава):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январе: (9*31+1*27)/31=9,9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феврале: 10*28/28=10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марте: 10*31/31=10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апреле: (9*30+1*10)/30=9,3</w:t>
      </w:r>
    </w:p>
    <w:p w:rsidR="002B761F" w:rsidRPr="002A2C03" w:rsidRDefault="00952C6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</w:t>
      </w:r>
      <w:r w:rsidR="002B761F"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 мае: 9*31/31=9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(8*30+1*15)/30=8,5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8*31/31=8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8*31/31=8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8*30/30=8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>ССЧ в октябре: 8*31/31=8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8*30/30=8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8*31/31=8</w:t>
      </w:r>
    </w:p>
    <w:p w:rsidR="002A2C03" w:rsidRPr="00560BDB" w:rsidRDefault="002A2C03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10" w:name="page162"/>
      <w:bookmarkEnd w:id="10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 образом, среднесписочная численность работников за год будет рассчитываться как: (9,8+10+10+9,3+9+8,5+8+8+8+8+8+8)/12=8,7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Расчет среднесписочной численности граждан, являющихся гражданами, отнесенными к категориям социально уязвимых: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– пенсионеры и граждане </w:t>
      </w:r>
      <w:proofErr w:type="spellStart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возраста: 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январе: 3*31/31=3 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феврале: 3*28/28=3 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марте: 3*31/31=3 ССЧ в апреле: 3*30/30=3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3*30/30=3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3*30/30=3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октябре: 3*31/31=3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3*30/30=3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3*31/31=3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2A2C03" w:rsidRDefault="002B761F" w:rsidP="00E16CE6">
      <w:pPr>
        <w:tabs>
          <w:tab w:val="left" w:pos="1660"/>
          <w:tab w:val="left" w:pos="2940"/>
          <w:tab w:val="left" w:pos="5140"/>
          <w:tab w:val="left" w:pos="6820"/>
          <w:tab w:val="left" w:pos="8540"/>
          <w:tab w:val="left" w:pos="8940"/>
        </w:tabs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образом,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среднесписочная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численность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пенсионеров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и</w:t>
      </w: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ab/>
        <w:t>граждан</w:t>
      </w:r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2A2C03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возраста за год будет рассчитываться как:</w:t>
      </w:r>
    </w:p>
    <w:p w:rsidR="002B761F" w:rsidRPr="00560BDB" w:rsidRDefault="002B761F" w:rsidP="00E16CE6">
      <w:pPr>
        <w:spacing w:after="0" w:line="240" w:lineRule="auto"/>
        <w:ind w:right="-427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(3+3+3+3+3+3+3+3+3+3+3+3)/12=3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– выпускники детских домов: </w:t>
      </w: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январе: (1*31+1*27)/31=1,9 </w:t>
      </w:r>
    </w:p>
    <w:p w:rsid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ССЧ в феврале: 2*28/28=2 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марте: 2*31/31=2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апреле: (1*30+1*10)/30=1,3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1*30/30=1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1*30/30=1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октябре: 1*31/31=1</w:t>
      </w:r>
    </w:p>
    <w:p w:rsidR="002B761F" w:rsidRPr="002A2C03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1*30/30=1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1*31/31=1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 образом, среднесписочная численность выпускников детских домов за год будет рассчитываться как: (1,9+2+2+1,3+1+1+1+1+1+1+1+1)/12=1,3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– лица, имеющие непогашенную судимость: </w:t>
      </w: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 xml:space="preserve">ССЧ в январе: 3*31/31=3 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феврале: 3*28/28=3 ССЧ в марте: 3*31/31=3 ССЧ в апреле: 3*30/30=3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мае: 3*31/31=3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июне: 3*30/30=3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11" w:name="page163"/>
      <w:bookmarkEnd w:id="11"/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июле: 3*31/31=3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августе: 3*31/31=3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сентябре: 3*30/30=3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октябре: 3*31/31=3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ноябре: 3*30/30=3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ССЧ в декабре: 3*31/31=3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Таким образом, среднесписочная численность лиц, имеющих непогашенную судимость, за год будет рассчитываться как: (3+3+3+3+3+3+3+3+3+3+3+3)/12=3</w:t>
      </w:r>
    </w:p>
    <w:p w:rsidR="002B761F" w:rsidRPr="00560BD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Заявитель не ведет специальных регистров учета расчетов с персоналом по оплате труда. По данным форм 2-НДФЛ:</w:t>
      </w:r>
    </w:p>
    <w:p w:rsidR="00E5235B" w:rsidRPr="00E5235B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работника-пенсионера 1 составила 250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работника-пенсионера 2 составила 200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работника-пенсионера 3 составила 150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с непогашенной судимостью 1 составила 175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с непогашенной судимостью 2 составила 150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с непогашенной судимостью 3 составила 125 руб.</w:t>
      </w: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Общая сумма доходов работника-выпускника детского дома 1 составила 230 руб. </w:t>
      </w:r>
    </w:p>
    <w:p w:rsid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Общая сумма доходов работника-выпускника детского дома 2 составила 80 руб. 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1, не являющегося гражданином, отнесенным к категориям социально уязвимых, составила 110 руб.</w:t>
      </w:r>
    </w:p>
    <w:p w:rsidR="00E5235B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2, не являющегося гражданином, отнесенным к категориям социально уязвимых, составила 90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1, работающего по договору гражданско-правового характера, составила 10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2, работающего по договору гражданско-правового характера, составила 10 руб.</w:t>
      </w:r>
    </w:p>
    <w:p w:rsidR="002B761F" w:rsidRPr="00E5235B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3, работающего по договору гражданско-правового характера, составила 10 руб.</w:t>
      </w:r>
    </w:p>
    <w:p w:rsidR="002B761F" w:rsidRDefault="002B761F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60BDB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Общая сумма доходов работника 4, работающего по договору гражданско-правового характера, составила 10 руб.</w:t>
      </w:r>
    </w:p>
    <w:p w:rsidR="00E5235B" w:rsidRPr="00E5235B" w:rsidRDefault="00E5235B" w:rsidP="00E16CE6">
      <w:pPr>
        <w:spacing w:after="0" w:line="240" w:lineRule="auto"/>
        <w:ind w:right="-427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E16CE6" w:rsidRDefault="00E16CE6" w:rsidP="00E16CE6">
      <w:pPr>
        <w:spacing w:line="0" w:lineRule="atLeast"/>
        <w:ind w:left="20" w:right="-427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</w:p>
    <w:p w:rsidR="002B761F" w:rsidRPr="00E5235B" w:rsidRDefault="002B761F" w:rsidP="00E16CE6">
      <w:pPr>
        <w:spacing w:line="0" w:lineRule="atLeast"/>
        <w:ind w:left="20" w:right="-427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E5235B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 заполнения приложения № </w:t>
      </w:r>
      <w:r w:rsidR="00025743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Style w:val="a7"/>
        <w:tblW w:w="0" w:type="auto"/>
        <w:tblInd w:w="20" w:type="dxa"/>
        <w:tblLayout w:type="fixed"/>
        <w:tblLook w:val="04A0"/>
      </w:tblPr>
      <w:tblGrid>
        <w:gridCol w:w="939"/>
        <w:gridCol w:w="4127"/>
        <w:gridCol w:w="2551"/>
        <w:gridCol w:w="2539"/>
      </w:tblGrid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539" w:type="dxa"/>
          </w:tcPr>
          <w:p w:rsidR="002B761F" w:rsidRPr="00E5235B" w:rsidRDefault="002B761F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начисленной</w:t>
            </w:r>
            <w:proofErr w:type="gramEnd"/>
          </w:p>
          <w:p w:rsidR="002B761F" w:rsidRPr="00E5235B" w:rsidRDefault="002B761F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заработной платы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2B761F" w:rsidRPr="00E5235B" w:rsidRDefault="002B761F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предшествующий</w:t>
            </w:r>
          </w:p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год, рублей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27" w:type="dxa"/>
          </w:tcPr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Всего работники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2539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Работники, относящиеся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категориям, указанным в пункте 1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 1 статьи 24.1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</w:t>
            </w:r>
            <w:proofErr w:type="gramEnd"/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от 24 июля 2007 г. № 209-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 «О развитии малого и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предпринимательства в Российской Федерации» (сумма</w:t>
            </w:r>
            <w:proofErr w:type="gramEnd"/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 2.1 – 2.10), в том числе: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2539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1360 (600+310+450)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tabs>
                <w:tab w:val="center" w:pos="1156"/>
              </w:tabs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127" w:type="dxa"/>
          </w:tcPr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 с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ограниченными</w:t>
            </w:r>
            <w:proofErr w:type="gramEnd"/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родители, воспитывающие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детей,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детей-инвалидов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граждане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течение пяти лет до</w:t>
            </w:r>
            <w:proofErr w:type="gramEnd"/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наступления возраста, дающего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на страховую пенсию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старости,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назначаемую</w:t>
            </w:r>
            <w:proofErr w:type="gramEnd"/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досрочно)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(250+200+150)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детских домов </w:t>
            </w: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возрасте</w:t>
            </w:r>
            <w:proofErr w:type="gramEnd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двадцати трех лет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539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(230+80)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tabs>
                <w:tab w:val="center" w:pos="1156"/>
              </w:tabs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лишения свободы и имеющие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неснятую или непогашенную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судимость</w:t>
            </w:r>
          </w:p>
        </w:tc>
        <w:tc>
          <w:tcPr>
            <w:tcW w:w="2551" w:type="dxa"/>
          </w:tcPr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  <w:p w:rsidR="002B761F" w:rsidRPr="00E5235B" w:rsidRDefault="00585E28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(175+150+125)</w:t>
            </w: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переселенцы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127" w:type="dxa"/>
          </w:tcPr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жительства и занятий</w:t>
            </w:r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61F" w:rsidRPr="00E5235B" w:rsidTr="00E5235B">
        <w:tc>
          <w:tcPr>
            <w:tcW w:w="9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4127" w:type="dxa"/>
          </w:tcPr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</w:t>
            </w:r>
          </w:p>
          <w:p w:rsidR="00585E28" w:rsidRPr="00E5235B" w:rsidRDefault="00585E28" w:rsidP="00E16CE6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нуждающимися в социальном</w:t>
            </w:r>
          </w:p>
          <w:p w:rsidR="002B761F" w:rsidRPr="00E5235B" w:rsidRDefault="00585E28" w:rsidP="00E16CE6">
            <w:pPr>
              <w:spacing w:line="0" w:lineRule="atLeast"/>
              <w:ind w:right="-427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обслуживании</w:t>
            </w:r>
            <w:proofErr w:type="gramEnd"/>
          </w:p>
        </w:tc>
        <w:tc>
          <w:tcPr>
            <w:tcW w:w="2551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B761F" w:rsidRPr="00E5235B" w:rsidRDefault="002B761F" w:rsidP="00E16CE6">
            <w:pPr>
              <w:spacing w:line="0" w:lineRule="atLeast"/>
              <w:ind w:right="-427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761F" w:rsidRDefault="002B761F" w:rsidP="00E16CE6">
      <w:pPr>
        <w:spacing w:line="0" w:lineRule="atLeast"/>
        <w:ind w:left="20" w:right="-427"/>
        <w:rPr>
          <w:rFonts w:ascii="Georgia" w:eastAsia="Georgia" w:hAnsi="Georgia"/>
          <w:b/>
          <w:color w:val="6D3300"/>
          <w:sz w:val="24"/>
        </w:rPr>
      </w:pPr>
    </w:p>
    <w:p w:rsidR="009A347B" w:rsidRPr="00E95FD3" w:rsidRDefault="00585E28" w:rsidP="00E95FD3">
      <w:pPr>
        <w:spacing w:line="275" w:lineRule="auto"/>
        <w:ind w:left="20" w:right="-42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5235B">
        <w:rPr>
          <w:rFonts w:ascii="Times New Roman" w:eastAsia="Georgia" w:hAnsi="Times New Roman" w:cs="Times New Roman"/>
          <w:sz w:val="28"/>
          <w:szCs w:val="28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 84% (7,3/8,7)</w:t>
      </w:r>
      <w:bookmarkStart w:id="12" w:name="page157"/>
      <w:bookmarkEnd w:id="12"/>
      <w:r w:rsidR="00E5235B">
        <w:rPr>
          <w:rFonts w:ascii="Times New Roman" w:eastAsia="Georgia" w:hAnsi="Times New Roman" w:cs="Times New Roman"/>
          <w:sz w:val="28"/>
          <w:szCs w:val="28"/>
        </w:rPr>
        <w:t>.</w:t>
      </w:r>
      <w:bookmarkStart w:id="13" w:name="page158"/>
      <w:bookmarkEnd w:id="13"/>
    </w:p>
    <w:sectPr w:rsidR="009A347B" w:rsidRPr="00E95FD3" w:rsidSect="00E52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04" w:rsidRDefault="00CA5E04" w:rsidP="00D86201">
      <w:pPr>
        <w:spacing w:after="0" w:line="240" w:lineRule="auto"/>
      </w:pPr>
      <w:r>
        <w:separator/>
      </w:r>
    </w:p>
  </w:endnote>
  <w:endnote w:type="continuationSeparator" w:id="0">
    <w:p w:rsidR="00CA5E04" w:rsidRDefault="00CA5E04" w:rsidP="00D8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04" w:rsidRDefault="00CA5E04" w:rsidP="00D86201">
      <w:pPr>
        <w:spacing w:after="0" w:line="240" w:lineRule="auto"/>
      </w:pPr>
      <w:r>
        <w:separator/>
      </w:r>
    </w:p>
  </w:footnote>
  <w:footnote w:type="continuationSeparator" w:id="0">
    <w:p w:rsidR="00CA5E04" w:rsidRDefault="00CA5E04" w:rsidP="00D86201">
      <w:pPr>
        <w:spacing w:after="0" w:line="240" w:lineRule="auto"/>
      </w:pPr>
      <w:r>
        <w:continuationSeparator/>
      </w:r>
    </w:p>
  </w:footnote>
  <w:footnote w:id="1">
    <w:p w:rsidR="00A0640F" w:rsidRPr="00560BDB" w:rsidRDefault="00A0640F">
      <w:pPr>
        <w:pStyle w:val="a3"/>
        <w:rPr>
          <w:rFonts w:ascii="Times New Roman" w:hAnsi="Times New Roman" w:cs="Times New Roman"/>
        </w:rPr>
      </w:pPr>
      <w:r w:rsidRPr="00560BDB">
        <w:rPr>
          <w:rStyle w:val="a5"/>
          <w:rFonts w:ascii="Times New Roman" w:hAnsi="Times New Roman" w:cs="Times New Roman"/>
        </w:rPr>
        <w:footnoteRef/>
      </w:r>
      <w:r w:rsidRPr="00560BDB">
        <w:rPr>
          <w:rFonts w:ascii="Times New Roman" w:hAnsi="Times New Roman" w:cs="Times New Roman"/>
        </w:rPr>
        <w:t xml:space="preserve"> Найти свою организацию или ИП можно по ИНН</w:t>
      </w:r>
    </w:p>
  </w:footnote>
  <w:footnote w:id="2">
    <w:p w:rsidR="00A0640F" w:rsidRDefault="00A0640F" w:rsidP="00E16CE6">
      <w:pPr>
        <w:spacing w:line="258" w:lineRule="auto"/>
        <w:ind w:right="-427"/>
        <w:jc w:val="both"/>
        <w:rPr>
          <w:rFonts w:ascii="Georgia" w:eastAsia="Georgia" w:hAnsi="Georgia"/>
          <w:sz w:val="19"/>
        </w:rPr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  <w:sz w:val="19"/>
        </w:rPr>
        <w:t>Рекомендуемая форма табеля учета рабочего времени утверждена Постановлением</w:t>
      </w:r>
      <w:r>
        <w:rPr>
          <w:rFonts w:ascii="Georgia" w:eastAsia="Georgia" w:hAnsi="Georgia"/>
          <w:sz w:val="13"/>
        </w:rPr>
        <w:t xml:space="preserve"> </w:t>
      </w:r>
      <w:r>
        <w:rPr>
          <w:rFonts w:ascii="Georgia" w:eastAsia="Georgia" w:hAnsi="Georgia"/>
          <w:sz w:val="19"/>
        </w:rPr>
        <w:t>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  <w:p w:rsidR="00A0640F" w:rsidRDefault="00A0640F">
      <w:pPr>
        <w:pStyle w:val="a3"/>
      </w:pPr>
    </w:p>
  </w:footnote>
  <w:footnote w:id="3">
    <w:p w:rsidR="00A0640F" w:rsidRDefault="00A0640F" w:rsidP="00E16CE6">
      <w:pPr>
        <w:pStyle w:val="a3"/>
        <w:ind w:right="-427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Georgia" w:eastAsia="Georgia" w:hAnsi="Georgia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>
        <w:rPr>
          <w:rFonts w:ascii="Georgia" w:eastAsia="Georgia" w:hAnsi="Georgia"/>
        </w:rPr>
        <w:t xml:space="preserve"> которого не удержан налог, и сумме </w:t>
      </w:r>
      <w:proofErr w:type="spellStart"/>
      <w:r>
        <w:rPr>
          <w:rFonts w:ascii="Georgia" w:eastAsia="Georgia" w:hAnsi="Georgia"/>
        </w:rPr>
        <w:t>неудержанного</w:t>
      </w:r>
      <w:proofErr w:type="spellEnd"/>
      <w:r>
        <w:rPr>
          <w:rFonts w:ascii="Georgia" w:eastAsia="Georgia" w:hAnsi="Georgia"/>
        </w:rPr>
        <w:t xml:space="preserve"> налога на доходы физических лиц»</w:t>
      </w:r>
    </w:p>
  </w:footnote>
  <w:footnote w:id="4">
    <w:p w:rsidR="00A0640F" w:rsidRDefault="00A0640F" w:rsidP="00E16CE6">
      <w:pPr>
        <w:pStyle w:val="a3"/>
        <w:ind w:right="-427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</w:rPr>
        <w:t>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5">
    <w:p w:rsidR="00A0640F" w:rsidRDefault="00A0640F" w:rsidP="00E16CE6">
      <w:pPr>
        <w:tabs>
          <w:tab w:val="left" w:pos="151"/>
        </w:tabs>
        <w:spacing w:after="0" w:line="239" w:lineRule="auto"/>
        <w:ind w:right="-427"/>
        <w:jc w:val="both"/>
        <w:rPr>
          <w:rFonts w:ascii="Georgia" w:eastAsia="Georgia" w:hAnsi="Georgia"/>
          <w:sz w:val="13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Georgia" w:eastAsia="Georgia" w:hAnsi="Georgia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>
        <w:rPr>
          <w:rFonts w:ascii="Georgia" w:eastAsia="Georgia" w:hAnsi="Georgia"/>
        </w:rPr>
        <w:t xml:space="preserve"> которого не удержан налог, и сумме </w:t>
      </w:r>
      <w:proofErr w:type="spellStart"/>
      <w:r>
        <w:rPr>
          <w:rFonts w:ascii="Georgia" w:eastAsia="Georgia" w:hAnsi="Georgia"/>
        </w:rPr>
        <w:t>неудержанного</w:t>
      </w:r>
      <w:proofErr w:type="spellEnd"/>
      <w:r>
        <w:rPr>
          <w:rFonts w:ascii="Georgia" w:eastAsia="Georgia" w:hAnsi="Georgia"/>
        </w:rPr>
        <w:t xml:space="preserve"> налога на доходы физических лиц».</w:t>
      </w:r>
    </w:p>
    <w:p w:rsidR="00A0640F" w:rsidRDefault="00A0640F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BED6A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14053CB6"/>
    <w:multiLevelType w:val="hybridMultilevel"/>
    <w:tmpl w:val="D3C8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5FBC"/>
    <w:multiLevelType w:val="hybridMultilevel"/>
    <w:tmpl w:val="9F8C4B24"/>
    <w:lvl w:ilvl="0" w:tplc="C5B44182">
      <w:start w:val="253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35799"/>
    <w:multiLevelType w:val="hybridMultilevel"/>
    <w:tmpl w:val="D076D5FE"/>
    <w:lvl w:ilvl="0" w:tplc="6F88405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1ADA"/>
    <w:multiLevelType w:val="hybridMultilevel"/>
    <w:tmpl w:val="631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18D8"/>
    <w:multiLevelType w:val="hybridMultilevel"/>
    <w:tmpl w:val="A8FC5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DE4327"/>
    <w:multiLevelType w:val="hybridMultilevel"/>
    <w:tmpl w:val="CC8804E4"/>
    <w:lvl w:ilvl="0" w:tplc="156422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E32"/>
    <w:rsid w:val="00025743"/>
    <w:rsid w:val="00083E7D"/>
    <w:rsid w:val="000A181C"/>
    <w:rsid w:val="000D6D9B"/>
    <w:rsid w:val="001912BE"/>
    <w:rsid w:val="002152BD"/>
    <w:rsid w:val="002A2C03"/>
    <w:rsid w:val="002B761F"/>
    <w:rsid w:val="002F68D8"/>
    <w:rsid w:val="00342101"/>
    <w:rsid w:val="003A2328"/>
    <w:rsid w:val="003A7891"/>
    <w:rsid w:val="004232E9"/>
    <w:rsid w:val="004C5D11"/>
    <w:rsid w:val="00560BDB"/>
    <w:rsid w:val="005819D0"/>
    <w:rsid w:val="00585E28"/>
    <w:rsid w:val="006222E7"/>
    <w:rsid w:val="00683227"/>
    <w:rsid w:val="007A78EF"/>
    <w:rsid w:val="00857321"/>
    <w:rsid w:val="008C1E32"/>
    <w:rsid w:val="00901270"/>
    <w:rsid w:val="00952C6B"/>
    <w:rsid w:val="009A347B"/>
    <w:rsid w:val="00A0640F"/>
    <w:rsid w:val="00A61E05"/>
    <w:rsid w:val="00AD5929"/>
    <w:rsid w:val="00B13F93"/>
    <w:rsid w:val="00BB47CC"/>
    <w:rsid w:val="00BD0CE5"/>
    <w:rsid w:val="00BF65F9"/>
    <w:rsid w:val="00C12E63"/>
    <w:rsid w:val="00C13845"/>
    <w:rsid w:val="00C565C6"/>
    <w:rsid w:val="00CA5E04"/>
    <w:rsid w:val="00CF71A4"/>
    <w:rsid w:val="00D86201"/>
    <w:rsid w:val="00E16CE6"/>
    <w:rsid w:val="00E5235B"/>
    <w:rsid w:val="00E90077"/>
    <w:rsid w:val="00E95FD3"/>
    <w:rsid w:val="00EE016B"/>
    <w:rsid w:val="00E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2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2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201"/>
    <w:rPr>
      <w:vertAlign w:val="superscript"/>
    </w:rPr>
  </w:style>
  <w:style w:type="paragraph" w:styleId="a6">
    <w:name w:val="List Paragraph"/>
    <w:basedOn w:val="a"/>
    <w:uiPriority w:val="34"/>
    <w:qFormat/>
    <w:rsid w:val="00D86201"/>
    <w:pPr>
      <w:ind w:left="720"/>
      <w:contextualSpacing/>
    </w:pPr>
  </w:style>
  <w:style w:type="table" w:styleId="a7">
    <w:name w:val="Table Grid"/>
    <w:basedOn w:val="a1"/>
    <w:uiPriority w:val="59"/>
    <w:rsid w:val="00A6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5235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5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235B"/>
  </w:style>
  <w:style w:type="paragraph" w:styleId="ab">
    <w:name w:val="footer"/>
    <w:basedOn w:val="a"/>
    <w:link w:val="ac"/>
    <w:uiPriority w:val="99"/>
    <w:semiHidden/>
    <w:unhideWhenUsed/>
    <w:rsid w:val="00E5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74750F756FC6F84E6FFD2379CEF2B98&amp;req=doc&amp;base=LAW&amp;n=209168&amp;dst=100021&amp;fld=134&amp;REFFIELD=134&amp;REFDST=100005&amp;REFDOC=246908&amp;REFBASE=PBI&amp;stat=refcode%3D10881%3Bdstident%3D100021%3Bindex%3D11&amp;date=21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74750F756FC6F84E6FFD2379CEF2B98&amp;req=doc&amp;base=PAP&amp;n=91017&amp;REFFIELD=134&amp;REFDST=100012&amp;REFDOC=246908&amp;REFBASE=PBI&amp;stat=refcode%3D10881%3Bindex%3D18&amp;date=21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74750F756FC6F84E6FFD2379CEF2B98&amp;req=doc&amp;base=LAW&amp;n=209168&amp;dst=100441&amp;fld=134&amp;REFFIELD=134&amp;REFDST=100005&amp;REFDOC=246908&amp;REFBASE=PBI&amp;stat=refcode%3D10881%3Bdstident%3D100441%3Bindex%3D11&amp;date=21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3B5F-AA7F-4806-A6D9-76C111F9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bobylevaav</cp:lastModifiedBy>
  <cp:revision>14</cp:revision>
  <dcterms:created xsi:type="dcterms:W3CDTF">2020-02-13T10:42:00Z</dcterms:created>
  <dcterms:modified xsi:type="dcterms:W3CDTF">2020-06-11T13:48:00Z</dcterms:modified>
</cp:coreProperties>
</file>