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E74D0F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E74D0F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A7798A" w:rsidRDefault="00A7798A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A7798A" w:rsidRPr="00F643A2" w:rsidRDefault="00A7798A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764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476402" w:rsidRPr="004764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113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24.11.2020</w:t>
                  </w:r>
                  <w:r w:rsidR="00476402" w:rsidRPr="004764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 w:rsidRPr="004764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2D7303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711366" w:rsidRPr="007113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1129р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153" w:rsidRPr="00B96153" w:rsidRDefault="00E74D0F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cherinfo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docs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postanovlenie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mera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goroda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cherepovca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ot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-10.07.2020-2796-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vnesenii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izmenenij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postanovlenie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merii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goroda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ot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-27.03.2014-1748</w:t>
        </w:r>
      </w:hyperlink>
    </w:p>
    <w:p w:rsidR="00644529" w:rsidRPr="0067481A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Комитета</w:t>
      </w:r>
      <w:r w:rsidR="0042623A" w:rsidRPr="006748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476402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7113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24.11.2020</w:t>
      </w:r>
      <w:r w:rsidR="0047640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074BAB" w:rsidRPr="00476402">
        <w:rPr>
          <w:rFonts w:ascii="Times New Roman" w:hAnsi="Times New Roman" w:cs="Times New Roman"/>
          <w:sz w:val="26"/>
          <w:szCs w:val="26"/>
        </w:rPr>
        <w:t>№</w:t>
      </w:r>
      <w:r w:rsidR="00711366">
        <w:rPr>
          <w:rFonts w:ascii="Times New Roman" w:hAnsi="Times New Roman" w:cs="Times New Roman"/>
          <w:sz w:val="26"/>
          <w:szCs w:val="26"/>
        </w:rPr>
        <w:t>1129р</w:t>
      </w:r>
      <w:r w:rsidR="00606B3E" w:rsidRPr="004764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6402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606B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7481A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7481A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0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1760"/>
        <w:gridCol w:w="1418"/>
        <w:gridCol w:w="1549"/>
        <w:gridCol w:w="1417"/>
        <w:gridCol w:w="1985"/>
        <w:gridCol w:w="1417"/>
        <w:gridCol w:w="1588"/>
      </w:tblGrid>
      <w:tr w:rsidR="00B24A9B" w:rsidRPr="002E3913" w:rsidTr="003A1A85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E90A96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B24A9B" w:rsidRPr="002E3913" w:rsidTr="003A1A85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3664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Раахе</w:t>
            </w:r>
            <w:proofErr w:type="spellEnd"/>
            <w:r>
              <w:rPr>
                <w:sz w:val="23"/>
                <w:szCs w:val="23"/>
              </w:rPr>
              <w:t xml:space="preserve"> у д. № 50 / А-7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366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А-7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3A1A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3664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пр. / А-38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366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А-38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9070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пр. / А-40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366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А-40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B33E1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Октябрьский пр. у д. № 42 </w:t>
            </w:r>
          </w:p>
          <w:p w:rsidR="003A1A85" w:rsidRDefault="003A1A85" w:rsidP="009070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/ А-46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B33E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А-46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9070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пр., АЗС «</w:t>
            </w:r>
            <w:proofErr w:type="spellStart"/>
            <w:r>
              <w:rPr>
                <w:sz w:val="23"/>
                <w:szCs w:val="23"/>
              </w:rPr>
              <w:t>Энтиком-Инвест</w:t>
            </w:r>
            <w:proofErr w:type="spellEnd"/>
            <w:r>
              <w:rPr>
                <w:sz w:val="23"/>
                <w:szCs w:val="23"/>
              </w:rPr>
              <w:t>» / А-57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132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А-57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9070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Кирилловское шоссе / Б-16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Б-16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779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Кирилловское шоссе / Б-19</w:t>
            </w:r>
          </w:p>
          <w:p w:rsidR="003A1A85" w:rsidRPr="000C72BB" w:rsidRDefault="003A1A85" w:rsidP="00A7798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FE74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779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Кирилловское шоссе / Б-23</w:t>
            </w:r>
          </w:p>
          <w:p w:rsidR="003A1A85" w:rsidRPr="000C72BB" w:rsidRDefault="003A1A85" w:rsidP="00A7798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086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Б-23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DD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D43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статичное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ое поле 3х6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2E3913" w:rsidRDefault="003A1A85" w:rsidP="0044466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4446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пересечении пр. Победы – ул. Архангельской </w:t>
            </w:r>
          </w:p>
          <w:p w:rsidR="003A1A85" w:rsidRPr="006B4190" w:rsidRDefault="003A1A85" w:rsidP="0044466E">
            <w:pPr>
              <w:pStyle w:val="Default"/>
              <w:jc w:val="center"/>
              <w:rPr>
                <w:sz w:val="22"/>
                <w:szCs w:val="22"/>
              </w:rPr>
            </w:pPr>
            <w:r w:rsidRPr="006B41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В-29</w:t>
            </w:r>
          </w:p>
          <w:p w:rsidR="003A1A85" w:rsidRPr="006B4190" w:rsidRDefault="003A1A85" w:rsidP="0044466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444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086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В-29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476402" w:rsidRDefault="00DD4394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02">
              <w:rPr>
                <w:rFonts w:ascii="Times New Roman" w:hAnsi="Times New Roman" w:cs="Times New Roman"/>
                <w:sz w:val="24"/>
                <w:szCs w:val="24"/>
              </w:rPr>
              <w:t>32832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476402" w:rsidRDefault="00DD4394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02">
              <w:rPr>
                <w:rFonts w:ascii="Times New Roman" w:hAnsi="Times New Roman" w:cs="Times New Roman"/>
                <w:sz w:val="24"/>
                <w:szCs w:val="24"/>
              </w:rPr>
              <w:t>9849,6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476402" w:rsidRDefault="00DD4394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0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0C72BB" w:rsidRDefault="003A1A85" w:rsidP="00637CAA">
            <w:pPr>
              <w:pStyle w:val="Default"/>
              <w:jc w:val="both"/>
              <w:rPr>
                <w:lang w:eastAsia="ar-SA"/>
              </w:rPr>
            </w:pPr>
            <w:r>
              <w:rPr>
                <w:sz w:val="23"/>
                <w:szCs w:val="23"/>
              </w:rPr>
              <w:t>пр. Победы у д. № 143 / В-21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637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 В-21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0C72BB" w:rsidRDefault="003A1A85" w:rsidP="00ED6898">
            <w:pPr>
              <w:pStyle w:val="Default"/>
              <w:jc w:val="both"/>
              <w:rPr>
                <w:lang w:eastAsia="ar-SA"/>
              </w:rPr>
            </w:pPr>
            <w:r>
              <w:rPr>
                <w:sz w:val="23"/>
                <w:szCs w:val="23"/>
              </w:rPr>
              <w:t>пр. Победы у д. № 136  / В-20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ED6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В-20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0C72BB" w:rsidRDefault="003A1A85" w:rsidP="00892B1A">
            <w:pPr>
              <w:pStyle w:val="Default"/>
              <w:jc w:val="both"/>
              <w:rPr>
                <w:lang w:eastAsia="ar-SA"/>
              </w:rPr>
            </w:pPr>
            <w:r>
              <w:rPr>
                <w:sz w:val="23"/>
                <w:szCs w:val="23"/>
              </w:rPr>
              <w:t>пр. Победы у д. № 162  / В-15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892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В-15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0C72BB" w:rsidRDefault="003A1A85" w:rsidP="00612E95">
            <w:pPr>
              <w:pStyle w:val="Default"/>
              <w:jc w:val="both"/>
              <w:rPr>
                <w:lang w:eastAsia="ar-SA"/>
              </w:rPr>
            </w:pPr>
            <w:r>
              <w:rPr>
                <w:sz w:val="23"/>
                <w:szCs w:val="23"/>
              </w:rPr>
              <w:t>пр. Победы у д. № 151/ В-14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612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В-14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68606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8638CD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2E3913" w:rsidRDefault="00F23812" w:rsidP="00F238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A85">
              <w:rPr>
                <w:rFonts w:ascii="Times New Roman" w:hAnsi="Times New Roman" w:cs="Times New Roman"/>
                <w:sz w:val="24"/>
                <w:szCs w:val="24"/>
              </w:rPr>
              <w:t>идеоэкран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имеющий одно информационное поле,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размер </w:t>
            </w:r>
            <w:r>
              <w:rPr>
                <w:rFonts w:ascii="Times New Roman" w:hAnsi="Times New Roman" w:cs="Times New Roman"/>
                <w:lang w:eastAsia="ar-SA"/>
              </w:rPr>
              <w:t>которого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3</w:t>
            </w:r>
            <w:r>
              <w:rPr>
                <w:rFonts w:ascii="Times New Roman" w:hAnsi="Times New Roman" w:cs="Times New Roman"/>
                <w:lang w:eastAsia="ar-SA"/>
              </w:rPr>
              <w:t>,67х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,3</w:t>
            </w:r>
            <w:r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Default="003A1A85" w:rsidP="002960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15,781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6860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пр. Победы у д. № 170/34  </w:t>
            </w:r>
          </w:p>
          <w:p w:rsidR="003A1A85" w:rsidRPr="006B4190" w:rsidRDefault="003A1A85" w:rsidP="0068606C">
            <w:pPr>
              <w:pStyle w:val="Default"/>
              <w:rPr>
                <w:sz w:val="22"/>
                <w:szCs w:val="22"/>
              </w:rPr>
            </w:pPr>
            <w:r w:rsidRPr="006B41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В-11</w:t>
            </w:r>
          </w:p>
          <w:p w:rsidR="003A1A85" w:rsidRPr="006B4190" w:rsidRDefault="003A1A85" w:rsidP="0068606C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444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863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В-11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686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 w:rsidR="006860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7A2EB9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7A2EB9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25 906,09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0253A7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2EB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0C72BB" w:rsidRDefault="003A1A85" w:rsidP="00CD1EE1">
            <w:pPr>
              <w:pStyle w:val="Default"/>
              <w:jc w:val="both"/>
              <w:rPr>
                <w:lang w:eastAsia="ar-SA"/>
              </w:rPr>
            </w:pPr>
            <w:r>
              <w:rPr>
                <w:sz w:val="23"/>
                <w:szCs w:val="23"/>
              </w:rPr>
              <w:t>пр. Победы у д. № 172 / В-9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CD1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0C72BB" w:rsidRDefault="003A1A85" w:rsidP="00B75DC0">
            <w:pPr>
              <w:pStyle w:val="Default"/>
              <w:jc w:val="both"/>
              <w:rPr>
                <w:lang w:eastAsia="ar-SA"/>
              </w:rPr>
            </w:pPr>
            <w:r>
              <w:rPr>
                <w:sz w:val="23"/>
                <w:szCs w:val="23"/>
              </w:rPr>
              <w:t>Кирилловское шоссе  / Б-48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B75D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Б-48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44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2E3913" w:rsidRDefault="003A1A85" w:rsidP="0044466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6860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A1A85">
              <w:rPr>
                <w:sz w:val="23"/>
                <w:szCs w:val="23"/>
              </w:rPr>
              <w:t xml:space="preserve">ересечение Северного шоссе и ул. </w:t>
            </w:r>
            <w:proofErr w:type="spellStart"/>
            <w:r w:rsidR="003A1A85">
              <w:rPr>
                <w:sz w:val="23"/>
                <w:szCs w:val="23"/>
              </w:rPr>
              <w:t>Моченкова</w:t>
            </w:r>
            <w:proofErr w:type="spellEnd"/>
            <w:r w:rsidR="003A1A85">
              <w:rPr>
                <w:sz w:val="23"/>
                <w:szCs w:val="23"/>
              </w:rPr>
              <w:t xml:space="preserve"> у д. № 2 / Б-36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444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58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Б-36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44466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44466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134 / В-33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444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F5F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схемой размещения рекламной конструкции В-33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E735FE" w:rsidP="003C001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F77E6C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0C72BB" w:rsidRDefault="003A1A85" w:rsidP="003769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122/ В-35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3769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В-35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F34006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F3400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6D0C64" w:rsidRDefault="003A1A85" w:rsidP="00F51E3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6D0C64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6D0C64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6D0C64"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 w:rsidRPr="006D0C64"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115/ В-37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7A6D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В-37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F77E6C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86282F" w:rsidRDefault="003A1A85" w:rsidP="007A6DCB">
            <w:pPr>
              <w:pStyle w:val="Default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пр</w:t>
            </w:r>
            <w:r w:rsidRPr="0086282F">
              <w:rPr>
                <w:sz w:val="23"/>
                <w:szCs w:val="23"/>
              </w:rPr>
              <w:t>. Победы у д. № 1</w:t>
            </w:r>
            <w:r>
              <w:rPr>
                <w:sz w:val="23"/>
                <w:szCs w:val="23"/>
              </w:rPr>
              <w:t>15</w:t>
            </w:r>
            <w:r w:rsidRPr="008628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 В-41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7A6D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В-41М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2E3913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7A6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пересечении пр. Победы – ул. Гоголя </w:t>
            </w:r>
          </w:p>
          <w:p w:rsidR="003A1A85" w:rsidRDefault="003A1A85" w:rsidP="007A6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В-50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7A6D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В-50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89, АЗС / В-52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5C46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схемой размещения рекламной конструкции В-52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Гоголя у д. № 58 / В-60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1D3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В-60М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109 / В-62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1D3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В-62М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B1447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2E3913" w:rsidRDefault="003A1A85" w:rsidP="00B1447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77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пересечении ул. </w:t>
            </w:r>
            <w:proofErr w:type="gramStart"/>
            <w:r>
              <w:rPr>
                <w:sz w:val="23"/>
                <w:szCs w:val="23"/>
              </w:rPr>
              <w:t>Юбилейной</w:t>
            </w:r>
            <w:proofErr w:type="gramEnd"/>
            <w:r>
              <w:rPr>
                <w:sz w:val="23"/>
                <w:szCs w:val="23"/>
              </w:rPr>
              <w:t xml:space="preserve"> – ул. Краснодонцев</w:t>
            </w:r>
          </w:p>
          <w:p w:rsidR="003A1A85" w:rsidRDefault="003A1A85" w:rsidP="002C5F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В-67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2C5F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В-67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B1447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2E3913" w:rsidRDefault="003A1A85" w:rsidP="00B1447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77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пересечение ул. Чкалова – ул. Бардина </w:t>
            </w:r>
          </w:p>
          <w:p w:rsidR="003A1A85" w:rsidRDefault="003A1A85" w:rsidP="009D51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9D5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4 / Г-19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453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Г-19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E735FE" w:rsidP="003C001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3D6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6 / Г-20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3D6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Г-20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CD786D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, статичный (динамичный) тип информационного поля (полей) определяется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77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7 / Г-22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Default="003A1A85" w:rsidP="003D67E0">
            <w:pPr>
              <w:pStyle w:val="Default"/>
              <w:rPr>
                <w:sz w:val="23"/>
                <w:szCs w:val="23"/>
              </w:rPr>
            </w:pPr>
            <w:r w:rsidRPr="001A5CA9">
              <w:rPr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Г-22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77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9 / Г-23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Г-23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77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12 / Г-24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Г-24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, статичный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77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11 / Г-26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схемой размещения рекламной конструкции  Г-26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1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77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22 / Г-31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Г-31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статичный (динамичный) тип информационного поля (полей) определяется владельцем рекламной конструкции на его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2E3913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B55A8F" w:rsidP="00897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A1A85">
              <w:rPr>
                <w:sz w:val="23"/>
                <w:szCs w:val="23"/>
              </w:rPr>
              <w:t xml:space="preserve">ересечение пр. Победы – ул. Сталеваров у д. № 68 </w:t>
            </w:r>
          </w:p>
          <w:p w:rsidR="003A1A85" w:rsidRDefault="003A1A85" w:rsidP="00897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Г-28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6148F9" w:rsidRDefault="003A1A85" w:rsidP="00897F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Г-28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DF4C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26  / Г-32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DF4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Г-32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2A79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37  / Г-35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2A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Г-35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DC45E2" w:rsidRDefault="00B55A8F" w:rsidP="00A779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B55A8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B55A8F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735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B55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Видеоэкран</w:t>
            </w:r>
            <w:r w:rsidR="00193080">
              <w:rPr>
                <w:sz w:val="23"/>
                <w:szCs w:val="23"/>
              </w:rPr>
              <w:t>,</w:t>
            </w:r>
            <w:r w:rsidR="00EE12A6">
              <w:t xml:space="preserve"> имеющий одно информационное поле,</w:t>
            </w:r>
            <w:r w:rsidR="00EE12A6" w:rsidRPr="00910D36">
              <w:rPr>
                <w:lang w:eastAsia="ar-SA"/>
              </w:rPr>
              <w:t xml:space="preserve"> размер </w:t>
            </w:r>
            <w:r w:rsidR="00EE12A6">
              <w:rPr>
                <w:lang w:eastAsia="ar-SA"/>
              </w:rPr>
              <w:t>которого</w:t>
            </w:r>
            <w:r w:rsidR="00EE12A6" w:rsidRPr="00910D36">
              <w:rPr>
                <w:lang w:eastAsia="ar-SA"/>
              </w:rPr>
              <w:t xml:space="preserve"> </w:t>
            </w:r>
            <w:r w:rsidR="00EE12A6">
              <w:rPr>
                <w:lang w:eastAsia="ar-SA"/>
              </w:rPr>
              <w:t>4,82х</w:t>
            </w:r>
            <w:proofErr w:type="gramStart"/>
            <w:r w:rsidR="00EE12A6">
              <w:rPr>
                <w:lang w:eastAsia="ar-SA"/>
              </w:rPr>
              <w:t>6</w:t>
            </w:r>
            <w:proofErr w:type="gramEnd"/>
            <w:r w:rsidR="00EE12A6">
              <w:rPr>
                <w:lang w:eastAsia="ar-SA"/>
              </w:rPr>
              <w:t>,44</w:t>
            </w:r>
            <w:r w:rsidR="00EE12A6" w:rsidRPr="00910D36">
              <w:rPr>
                <w:lang w:eastAsia="ar-SA"/>
              </w:rPr>
              <w:t>м</w:t>
            </w:r>
          </w:p>
          <w:p w:rsidR="003A1A85" w:rsidRPr="00910D36" w:rsidRDefault="003A1A85" w:rsidP="00B55A8F">
            <w:pPr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B55A8F" w:rsidRDefault="003A1A85" w:rsidP="00B55A8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55A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31,04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500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37  / Г-36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5007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схемой размещения рекламной конструкции  Г-36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DC45E2" w:rsidRDefault="00B55A8F" w:rsidP="00A779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D724C9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169 850,88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D724C9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50 955,26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D724C9" w:rsidP="0002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E735FE" w:rsidP="003C001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AA25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41  / Г-39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A25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Г-39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DC45E2" w:rsidRDefault="00B55A8F" w:rsidP="00A779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8D3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58А  / Г-41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8D3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Г-41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 xml:space="preserve">поля, размер каждого информационного поля </w:t>
            </w:r>
            <w:r w:rsidR="005A6F62">
              <w:rPr>
                <w:rFonts w:ascii="Times New Roman" w:hAnsi="Times New Roman" w:cs="Times New Roman"/>
                <w:lang w:eastAsia="ar-SA"/>
              </w:rPr>
              <w:t>3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5A6F62">
              <w:rPr>
                <w:rFonts w:ascii="Times New Roman" w:hAnsi="Times New Roman" w:cs="Times New Roman"/>
                <w:lang w:eastAsia="ar-SA"/>
              </w:rPr>
              <w:t>6</w:t>
            </w:r>
            <w:r w:rsidR="005A6F62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8F78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68  / Г-42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8F7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Г-42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B55A8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60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F8" w:rsidRDefault="009F1BF8" w:rsidP="009F1B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видеоэкран, </w:t>
            </w:r>
            <w:r>
              <w:t>имеющий одно информационное поле,</w:t>
            </w:r>
            <w:r w:rsidRPr="00910D36">
              <w:rPr>
                <w:lang w:eastAsia="ar-SA"/>
              </w:rPr>
              <w:t xml:space="preserve"> размер </w:t>
            </w:r>
            <w:r>
              <w:rPr>
                <w:lang w:eastAsia="ar-SA"/>
              </w:rPr>
              <w:t>которого</w:t>
            </w:r>
            <w:r w:rsidRPr="00910D3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6,4х</w:t>
            </w:r>
            <w:proofErr w:type="gramStart"/>
            <w:r>
              <w:rPr>
                <w:lang w:eastAsia="ar-SA"/>
              </w:rPr>
              <w:t>4</w:t>
            </w:r>
            <w:proofErr w:type="gramEnd"/>
            <w:r>
              <w:rPr>
                <w:lang w:eastAsia="ar-SA"/>
              </w:rPr>
              <w:t>,48</w:t>
            </w:r>
            <w:r w:rsidRPr="00910D36">
              <w:rPr>
                <w:lang w:eastAsia="ar-SA"/>
              </w:rPr>
              <w:t>м</w:t>
            </w:r>
          </w:p>
          <w:p w:rsidR="003A1A85" w:rsidRDefault="003A1A85" w:rsidP="00B55A8F">
            <w:pPr>
              <w:pStyle w:val="Default"/>
              <w:rPr>
                <w:sz w:val="23"/>
                <w:szCs w:val="23"/>
              </w:rPr>
            </w:pPr>
          </w:p>
          <w:p w:rsidR="003A1A85" w:rsidRPr="00910D36" w:rsidRDefault="003A1A85" w:rsidP="00B55A8F">
            <w:pPr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B55A8F" w:rsidRDefault="003A1A85" w:rsidP="00B55A8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55A8F">
              <w:rPr>
                <w:rFonts w:ascii="Times New Roman" w:hAnsi="Times New Roman" w:cs="Times New Roman"/>
                <w:sz w:val="23"/>
                <w:szCs w:val="23"/>
              </w:rPr>
              <w:t>28,67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7446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Советский пр. у д. № 81 </w:t>
            </w:r>
          </w:p>
          <w:p w:rsidR="003A1A85" w:rsidRDefault="003A1A85" w:rsidP="00A77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/ Г-47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744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Г-47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D8603C" w:rsidP="0015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155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155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D8603C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47 064,67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D8603C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616607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616607">
              <w:rPr>
                <w:rFonts w:ascii="Times New Roman" w:hAnsi="Times New Roman" w:cs="Times New Roman"/>
                <w:lang w:eastAsia="ar-SA"/>
              </w:rPr>
              <w:t>3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616607">
              <w:rPr>
                <w:rFonts w:ascii="Times New Roman" w:hAnsi="Times New Roman" w:cs="Times New Roman"/>
                <w:lang w:eastAsia="ar-SA"/>
              </w:rPr>
              <w:t>6</w:t>
            </w:r>
            <w:r w:rsidRPr="00910D36">
              <w:rPr>
                <w:rFonts w:ascii="Times New Roman" w:hAnsi="Times New Roman" w:cs="Times New Roman"/>
                <w:lang w:eastAsia="ar-SA"/>
              </w:rPr>
              <w:t>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73 / Г-48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744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Г-48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440EE3">
              <w:rPr>
                <w:rFonts w:ascii="Times New Roman" w:hAnsi="Times New Roman" w:cs="Times New Roman"/>
                <w:lang w:eastAsia="ar-SA"/>
              </w:rPr>
              <w:t>3</w:t>
            </w:r>
            <w:r w:rsidR="00440EE3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440EE3">
              <w:rPr>
                <w:rFonts w:ascii="Times New Roman" w:hAnsi="Times New Roman" w:cs="Times New Roman"/>
                <w:lang w:eastAsia="ar-SA"/>
              </w:rPr>
              <w:t>6</w:t>
            </w:r>
            <w:r w:rsidR="00440EE3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7446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Комсомольская у д. №14  / Г-66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744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Г-66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440EE3">
              <w:rPr>
                <w:rFonts w:ascii="Times New Roman" w:hAnsi="Times New Roman" w:cs="Times New Roman"/>
                <w:lang w:eastAsia="ar-SA"/>
              </w:rPr>
              <w:t>3</w:t>
            </w:r>
            <w:r w:rsidR="00440EE3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440EE3">
              <w:rPr>
                <w:rFonts w:ascii="Times New Roman" w:hAnsi="Times New Roman" w:cs="Times New Roman"/>
                <w:lang w:eastAsia="ar-SA"/>
              </w:rPr>
              <w:t>6</w:t>
            </w:r>
            <w:r w:rsidR="00440EE3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Сталеваров / Г-71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DA1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Г-71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765918">
              <w:rPr>
                <w:rFonts w:ascii="Times New Roman" w:hAnsi="Times New Roman" w:cs="Times New Roman"/>
                <w:lang w:eastAsia="ar-SA"/>
              </w:rPr>
              <w:t>3</w:t>
            </w:r>
            <w:r w:rsidR="00765918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765918">
              <w:rPr>
                <w:rFonts w:ascii="Times New Roman" w:hAnsi="Times New Roman" w:cs="Times New Roman"/>
                <w:lang w:eastAsia="ar-SA"/>
              </w:rPr>
              <w:t>6</w:t>
            </w:r>
            <w:r w:rsidR="00765918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, статичный (динамичный) тип информационного поля (полей) определяется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Московский пр. у д. № 62 / Г-72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E06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Г-72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765918">
              <w:rPr>
                <w:rFonts w:ascii="Times New Roman" w:hAnsi="Times New Roman" w:cs="Times New Roman"/>
                <w:lang w:eastAsia="ar-SA"/>
              </w:rPr>
              <w:t>3</w:t>
            </w:r>
            <w:r w:rsidR="00765918" w:rsidRPr="00910D36">
              <w:rPr>
                <w:rFonts w:ascii="Times New Roman" w:hAnsi="Times New Roman" w:cs="Times New Roman"/>
                <w:lang w:eastAsia="ar-SA"/>
              </w:rPr>
              <w:t>х</w:t>
            </w:r>
            <w:r w:rsidR="00765918">
              <w:rPr>
                <w:rFonts w:ascii="Times New Roman" w:hAnsi="Times New Roman" w:cs="Times New Roman"/>
                <w:lang w:eastAsia="ar-SA"/>
              </w:rPr>
              <w:t>6</w:t>
            </w:r>
            <w:r w:rsidR="00765918" w:rsidRPr="00910D36">
              <w:rPr>
                <w:rFonts w:ascii="Times New Roman" w:hAnsi="Times New Roman" w:cs="Times New Roman"/>
                <w:lang w:eastAsia="ar-SA"/>
              </w:rPr>
              <w:t>м</w:t>
            </w:r>
            <w:r w:rsidRPr="00910D36">
              <w:rPr>
                <w:rFonts w:ascii="Times New Roman" w:hAnsi="Times New Roman" w:cs="Times New Roman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Сталеваров, ул. Добролюбова у д. № 3 / Г-78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842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Г-78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735FE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FE" w:rsidRDefault="00E735FE" w:rsidP="0010174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FE" w:rsidRPr="00910D36" w:rsidRDefault="00E735FE" w:rsidP="0063789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E" w:rsidRPr="001A5CA9" w:rsidRDefault="00E735FE" w:rsidP="0063789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FE" w:rsidRPr="00E735FE" w:rsidRDefault="00E735FE" w:rsidP="00637895">
            <w:pPr>
              <w:pStyle w:val="Default"/>
              <w:rPr>
                <w:sz w:val="23"/>
                <w:szCs w:val="23"/>
              </w:rPr>
            </w:pPr>
            <w:r w:rsidRPr="00E735FE">
              <w:rPr>
                <w:sz w:val="23"/>
                <w:szCs w:val="23"/>
              </w:rPr>
              <w:t>пр. Победы у д. № 131 / В-31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E" w:rsidRPr="001A5CA9" w:rsidRDefault="00E735FE" w:rsidP="006378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E" w:rsidRPr="001A5CA9" w:rsidRDefault="00E735FE" w:rsidP="006378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В-31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E" w:rsidRPr="003A1A85" w:rsidRDefault="00E735FE" w:rsidP="006378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29.12.2020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FE" w:rsidRPr="002E3913" w:rsidRDefault="00E735FE" w:rsidP="006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FE" w:rsidRPr="002E3913" w:rsidRDefault="00E735FE" w:rsidP="006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FE" w:rsidRPr="002E3913" w:rsidRDefault="00E735FE" w:rsidP="006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3F02C1" w:rsidP="00DB638D">
      <w:pPr>
        <w:tabs>
          <w:tab w:val="left" w:pos="709"/>
        </w:tabs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280C94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 декабря</w:t>
      </w:r>
      <w:r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EF1F46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 размере разницы между  ценой права, предложенной победителем аукциона</w:t>
      </w:r>
      <w:r w:rsidR="00643435" w:rsidRPr="00EF1F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и размером задатка</w:t>
      </w:r>
      <w:r w:rsidR="00F34006" w:rsidRPr="00EF1F46">
        <w:rPr>
          <w:sz w:val="26"/>
          <w:szCs w:val="26"/>
        </w:rPr>
        <w:t xml:space="preserve">  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по лоту не позднее </w:t>
      </w:r>
      <w:r w:rsidR="00460D67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460D6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6BAC">
        <w:rPr>
          <w:rFonts w:ascii="Times New Roman" w:hAnsi="Times New Roman" w:cs="Times New Roman"/>
          <w:sz w:val="26"/>
          <w:szCs w:val="26"/>
        </w:rPr>
        <w:t xml:space="preserve">КБК </w:t>
      </w:r>
      <w:r w:rsidR="00937EC6" w:rsidRPr="00546BAC">
        <w:rPr>
          <w:rFonts w:ascii="Times New Roman" w:hAnsi="Times New Roman" w:cs="Times New Roman"/>
          <w:sz w:val="26"/>
          <w:szCs w:val="26"/>
        </w:rPr>
        <w:t>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937EC6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</w:p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3C41E9" w:rsidRDefault="005A72DB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Победитель аукциона извещает 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</w:t>
      </w:r>
      <w:r w:rsidR="005E4B02" w:rsidRPr="00543CC0">
        <w:rPr>
          <w:rFonts w:ascii="Times New Roman" w:hAnsi="Times New Roman" w:cs="Times New Roman"/>
          <w:color w:val="000000"/>
          <w:sz w:val="26"/>
          <w:szCs w:val="26"/>
        </w:rPr>
        <w:t>аукциона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 случае отсутствия такого извещения </w:t>
      </w:r>
      <w:r w:rsidR="005E4B02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 установленный срок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</w:t>
      </w:r>
      <w:r w:rsidR="000671A6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6E4D47" w:rsidRPr="0054119D" w:rsidRDefault="003D10D3" w:rsidP="00F63842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Default="00A62297" w:rsidP="00F6384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 w:rsidR="00F63842"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7822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822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7822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822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.2020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5.2.5.,5.2.8., 5.2.12.,5.2.14.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68D" w:rsidRPr="00642BAF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1168D" w:rsidRPr="00642BAF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C7" w:rsidRDefault="00A57FC7" w:rsidP="00121FE0">
      <w:pPr>
        <w:spacing w:after="0"/>
      </w:pPr>
      <w:r>
        <w:separator/>
      </w:r>
    </w:p>
  </w:endnote>
  <w:endnote w:type="continuationSeparator" w:id="0">
    <w:p w:rsidR="00A57FC7" w:rsidRDefault="00A57FC7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C7" w:rsidRDefault="00A57FC7" w:rsidP="00121FE0">
      <w:pPr>
        <w:spacing w:after="0"/>
      </w:pPr>
      <w:r>
        <w:separator/>
      </w:r>
    </w:p>
  </w:footnote>
  <w:footnote w:type="continuationSeparator" w:id="0">
    <w:p w:rsidR="00A57FC7" w:rsidRDefault="00A57FC7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A7798A" w:rsidRDefault="00E74D0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98A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35FE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98A" w:rsidRDefault="00A779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3A1C"/>
    <w:rsid w:val="00013E01"/>
    <w:rsid w:val="00015350"/>
    <w:rsid w:val="000157DE"/>
    <w:rsid w:val="00015AF8"/>
    <w:rsid w:val="0001612D"/>
    <w:rsid w:val="00017C66"/>
    <w:rsid w:val="000214C9"/>
    <w:rsid w:val="00024FA1"/>
    <w:rsid w:val="000253A7"/>
    <w:rsid w:val="000253E2"/>
    <w:rsid w:val="0002584E"/>
    <w:rsid w:val="00025874"/>
    <w:rsid w:val="00026FFD"/>
    <w:rsid w:val="0002756E"/>
    <w:rsid w:val="00027885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3C5D"/>
    <w:rsid w:val="002A4EA4"/>
    <w:rsid w:val="002A518D"/>
    <w:rsid w:val="002A67C1"/>
    <w:rsid w:val="002A6CD6"/>
    <w:rsid w:val="002A79C5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F9E"/>
    <w:rsid w:val="002C6677"/>
    <w:rsid w:val="002C73DC"/>
    <w:rsid w:val="002C7543"/>
    <w:rsid w:val="002D00C7"/>
    <w:rsid w:val="002D1AC6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46CC"/>
    <w:rsid w:val="003451C8"/>
    <w:rsid w:val="0034627D"/>
    <w:rsid w:val="00346FB3"/>
    <w:rsid w:val="00350CB9"/>
    <w:rsid w:val="0035288F"/>
    <w:rsid w:val="0035370C"/>
    <w:rsid w:val="0035377F"/>
    <w:rsid w:val="00353A06"/>
    <w:rsid w:val="00354D44"/>
    <w:rsid w:val="003553E4"/>
    <w:rsid w:val="003555D5"/>
    <w:rsid w:val="00355FF3"/>
    <w:rsid w:val="00356692"/>
    <w:rsid w:val="003600B8"/>
    <w:rsid w:val="003604C2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E78"/>
    <w:rsid w:val="00381EBF"/>
    <w:rsid w:val="003844E2"/>
    <w:rsid w:val="003852E5"/>
    <w:rsid w:val="00385AEA"/>
    <w:rsid w:val="003865EC"/>
    <w:rsid w:val="00386A24"/>
    <w:rsid w:val="003878F9"/>
    <w:rsid w:val="00387B17"/>
    <w:rsid w:val="00387C2E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506B"/>
    <w:rsid w:val="00475902"/>
    <w:rsid w:val="00475991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3DFB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3CC0"/>
    <w:rsid w:val="0054460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7D2"/>
    <w:rsid w:val="0057799C"/>
    <w:rsid w:val="00580237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190D"/>
    <w:rsid w:val="00651CE9"/>
    <w:rsid w:val="00652207"/>
    <w:rsid w:val="006531A1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AAC"/>
    <w:rsid w:val="00690FF4"/>
    <w:rsid w:val="00691D61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5918"/>
    <w:rsid w:val="00767E38"/>
    <w:rsid w:val="0077205B"/>
    <w:rsid w:val="00774E34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6E11"/>
    <w:rsid w:val="007D7981"/>
    <w:rsid w:val="007E05C7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B1393"/>
    <w:rsid w:val="008B21BC"/>
    <w:rsid w:val="008B441B"/>
    <w:rsid w:val="008B4B63"/>
    <w:rsid w:val="008B5A44"/>
    <w:rsid w:val="008B63B4"/>
    <w:rsid w:val="008B67A3"/>
    <w:rsid w:val="008B77AF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829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A5118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B25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20854"/>
    <w:rsid w:val="00B24677"/>
    <w:rsid w:val="00B24A9B"/>
    <w:rsid w:val="00B25C27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5A8F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D6D"/>
    <w:rsid w:val="00B70C02"/>
    <w:rsid w:val="00B71BC5"/>
    <w:rsid w:val="00B724F8"/>
    <w:rsid w:val="00B7293D"/>
    <w:rsid w:val="00B7452C"/>
    <w:rsid w:val="00B748A0"/>
    <w:rsid w:val="00B75A59"/>
    <w:rsid w:val="00B75DC0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8F2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45B"/>
    <w:rsid w:val="00D8048B"/>
    <w:rsid w:val="00D80B47"/>
    <w:rsid w:val="00D81FD8"/>
    <w:rsid w:val="00D82053"/>
    <w:rsid w:val="00D829DF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3571"/>
    <w:rsid w:val="00DA4265"/>
    <w:rsid w:val="00DA431B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BBE"/>
    <w:rsid w:val="00EA3045"/>
    <w:rsid w:val="00EA4201"/>
    <w:rsid w:val="00EA46DF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4006"/>
    <w:rsid w:val="00F3662E"/>
    <w:rsid w:val="00F36824"/>
    <w:rsid w:val="00F36C44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s/postanovlenie-mera-goroda-cherepovca-ot-10.07.2020-2796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9208-1257-4913-BAC7-8C291C0B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10529</Words>
  <Characters>60020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2</cp:revision>
  <cp:lastPrinted>2019-08-29T11:28:00Z</cp:lastPrinted>
  <dcterms:created xsi:type="dcterms:W3CDTF">2020-11-27T15:25:00Z</dcterms:created>
  <dcterms:modified xsi:type="dcterms:W3CDTF">2020-11-27T15:25:00Z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