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22" w:rsidRDefault="00787B34" w:rsidP="00787B34">
      <w:pPr>
        <w:ind w:firstLine="709"/>
        <w:jc w:val="center"/>
        <w:rPr>
          <w:sz w:val="26"/>
          <w:szCs w:val="26"/>
        </w:rPr>
      </w:pPr>
      <w:r>
        <w:rPr>
          <w:sz w:val="26"/>
          <w:szCs w:val="26"/>
        </w:rPr>
        <w:t>Информация о предполагаемом использовании земельного участка в случае предоставления разрешения на условно разрешенн</w:t>
      </w:r>
      <w:r w:rsidR="00272847">
        <w:rPr>
          <w:sz w:val="26"/>
          <w:szCs w:val="26"/>
        </w:rPr>
        <w:t>ый</w:t>
      </w:r>
      <w:r>
        <w:rPr>
          <w:sz w:val="26"/>
          <w:szCs w:val="26"/>
        </w:rPr>
        <w:t xml:space="preserve"> вид использования</w:t>
      </w:r>
    </w:p>
    <w:p w:rsidR="00787B34" w:rsidRDefault="00787B34" w:rsidP="00F923A6">
      <w:pPr>
        <w:ind w:firstLine="709"/>
        <w:jc w:val="both"/>
        <w:rPr>
          <w:sz w:val="26"/>
          <w:szCs w:val="26"/>
        </w:rPr>
      </w:pPr>
    </w:p>
    <w:p w:rsidR="00F923A6" w:rsidRDefault="0052645D" w:rsidP="00F923A6">
      <w:pPr>
        <w:ind w:firstLine="709"/>
        <w:jc w:val="both"/>
        <w:rPr>
          <w:sz w:val="26"/>
          <w:szCs w:val="26"/>
        </w:rPr>
      </w:pPr>
      <w:r>
        <w:rPr>
          <w:sz w:val="26"/>
          <w:szCs w:val="26"/>
        </w:rPr>
        <w:t>На общественные обсуждения выносится вопрос о предоставлении разрешения</w:t>
      </w:r>
      <w:r>
        <w:rPr>
          <w:sz w:val="26"/>
          <w:szCs w:val="26"/>
        </w:rPr>
        <w:t xml:space="preserve"> </w:t>
      </w:r>
      <w:bookmarkStart w:id="0" w:name="_GoBack"/>
      <w:bookmarkEnd w:id="0"/>
      <w:r w:rsidR="00F923A6">
        <w:rPr>
          <w:sz w:val="26"/>
          <w:szCs w:val="26"/>
        </w:rPr>
        <w:t xml:space="preserve">на условно разрешенный вид использования «магазины» земельного участка с кадастровым номером 35:21:0204002:3774, площадью 1948 </w:t>
      </w:r>
      <w:proofErr w:type="spellStart"/>
      <w:r w:rsidR="00F923A6">
        <w:rPr>
          <w:sz w:val="26"/>
          <w:szCs w:val="26"/>
        </w:rPr>
        <w:t>кв.м</w:t>
      </w:r>
      <w:proofErr w:type="spellEnd"/>
      <w:r w:rsidR="00F923A6">
        <w:rPr>
          <w:sz w:val="26"/>
          <w:szCs w:val="26"/>
        </w:rPr>
        <w:t>., расположенный по ул. Краснодонцев.</w:t>
      </w:r>
    </w:p>
    <w:p w:rsidR="00F923A6" w:rsidRDefault="00F923A6" w:rsidP="00F923A6">
      <w:pPr>
        <w:ind w:firstLine="709"/>
        <w:jc w:val="both"/>
        <w:rPr>
          <w:sz w:val="26"/>
          <w:szCs w:val="26"/>
        </w:rPr>
      </w:pPr>
      <w:r>
        <w:rPr>
          <w:sz w:val="26"/>
          <w:szCs w:val="26"/>
        </w:rPr>
        <w:t>Земельный участок расположен в зоне застройки индивидуальными жилыми домами (Ж-1), имеет вид разрешенного использования «для индивидуального жилищного строительства». Вид использования «магазины» относится к условно разрешенному виду использования для зоны Ж-1.</w:t>
      </w:r>
      <w:r w:rsidRPr="00106FA0">
        <w:rPr>
          <w:sz w:val="26"/>
          <w:szCs w:val="26"/>
        </w:rPr>
        <w:t xml:space="preserve"> </w:t>
      </w:r>
      <w:r>
        <w:rPr>
          <w:sz w:val="26"/>
          <w:szCs w:val="26"/>
        </w:rPr>
        <w:t xml:space="preserve">Земельный участок находится в </w:t>
      </w:r>
      <w:r w:rsidRPr="00EF5FC7">
        <w:rPr>
          <w:sz w:val="26"/>
          <w:szCs w:val="26"/>
        </w:rPr>
        <w:t xml:space="preserve"> государственной неразграниченной собственности.</w:t>
      </w:r>
    </w:p>
    <w:p w:rsidR="00F923A6" w:rsidRDefault="00F923A6" w:rsidP="00F923A6">
      <w:pPr>
        <w:ind w:firstLine="709"/>
        <w:jc w:val="both"/>
        <w:rPr>
          <w:sz w:val="26"/>
          <w:szCs w:val="26"/>
        </w:rPr>
      </w:pPr>
      <w:r>
        <w:rPr>
          <w:sz w:val="26"/>
          <w:szCs w:val="26"/>
        </w:rPr>
        <w:t xml:space="preserve">Вдоль улицы Краснодонцев, на участке от ул. Олимпийской до ул. Каштановой нет продуктовых магазинов. Земельный участок площадью 1948 кв. м., расположенный на первой линии ул. Краснодонцев будет удобным для размещения магазина «шаговой доступности». </w:t>
      </w:r>
    </w:p>
    <w:p w:rsidR="005E60EE" w:rsidRDefault="005E60EE" w:rsidP="00F923A6">
      <w:pPr>
        <w:ind w:firstLine="709"/>
        <w:jc w:val="both"/>
        <w:rPr>
          <w:sz w:val="26"/>
          <w:szCs w:val="26"/>
        </w:rPr>
      </w:pPr>
      <w:r>
        <w:rPr>
          <w:sz w:val="26"/>
          <w:szCs w:val="26"/>
        </w:rPr>
        <w:t>Земельный участок расположен на первой линии ул. Краснодонцев</w:t>
      </w:r>
      <w:r w:rsidR="00787B34">
        <w:rPr>
          <w:sz w:val="26"/>
          <w:szCs w:val="26"/>
        </w:rPr>
        <w:t>.</w:t>
      </w:r>
    </w:p>
    <w:p w:rsidR="00F923A6" w:rsidRDefault="00F923A6" w:rsidP="00F923A6">
      <w:pPr>
        <w:ind w:firstLine="709"/>
        <w:jc w:val="both"/>
        <w:rPr>
          <w:sz w:val="26"/>
          <w:szCs w:val="26"/>
        </w:rPr>
      </w:pPr>
      <w:r>
        <w:rPr>
          <w:sz w:val="26"/>
          <w:szCs w:val="26"/>
        </w:rPr>
        <w:t>В соответствии с местными нормативами градостроительного проектирования на рассматриваемом земельном участке может располагаться магазин, торг</w:t>
      </w:r>
      <w:r w:rsidR="00BF245F">
        <w:rPr>
          <w:sz w:val="26"/>
          <w:szCs w:val="26"/>
        </w:rPr>
        <w:t>овой площадью не</w:t>
      </w:r>
      <w:r w:rsidR="00787B34">
        <w:rPr>
          <w:sz w:val="26"/>
          <w:szCs w:val="26"/>
        </w:rPr>
        <w:t xml:space="preserve"> более 200 </w:t>
      </w:r>
      <w:proofErr w:type="spellStart"/>
      <w:r w:rsidR="00787B34">
        <w:rPr>
          <w:sz w:val="26"/>
          <w:szCs w:val="26"/>
        </w:rPr>
        <w:t>кв</w:t>
      </w:r>
      <w:proofErr w:type="gramStart"/>
      <w:r w:rsidR="00787B34">
        <w:rPr>
          <w:sz w:val="26"/>
          <w:szCs w:val="26"/>
        </w:rPr>
        <w:t>.м</w:t>
      </w:r>
      <w:proofErr w:type="spellEnd"/>
      <w:proofErr w:type="gramEnd"/>
      <w:r w:rsidR="00787B34">
        <w:rPr>
          <w:sz w:val="26"/>
          <w:szCs w:val="26"/>
        </w:rPr>
        <w:t>,</w:t>
      </w:r>
      <w:r w:rsidR="00BF245F">
        <w:rPr>
          <w:sz w:val="26"/>
          <w:szCs w:val="26"/>
        </w:rPr>
        <w:t xml:space="preserve"> парковочные места для посетителей будут располагаться на указанном земельном участке.</w:t>
      </w:r>
    </w:p>
    <w:p w:rsidR="005E60EE" w:rsidRDefault="005E60EE" w:rsidP="005E60EE">
      <w:pPr>
        <w:ind w:firstLine="709"/>
        <w:jc w:val="both"/>
        <w:rPr>
          <w:sz w:val="26"/>
          <w:szCs w:val="26"/>
        </w:rPr>
      </w:pPr>
      <w:r>
        <w:rPr>
          <w:sz w:val="26"/>
          <w:szCs w:val="26"/>
        </w:rPr>
        <w:t>Заезд автотранспорта на земельный участок для разгрузки автомашин и посетителей будет осущес</w:t>
      </w:r>
      <w:r w:rsidR="00BF245F">
        <w:rPr>
          <w:sz w:val="26"/>
          <w:szCs w:val="26"/>
        </w:rPr>
        <w:t>твляться через проезд, расположенный с западной стороны земельного участка.</w:t>
      </w:r>
    </w:p>
    <w:p w:rsidR="00BF245F" w:rsidRPr="00BF245F" w:rsidRDefault="00BF245F" w:rsidP="005E60EE">
      <w:pPr>
        <w:ind w:firstLine="709"/>
        <w:jc w:val="both"/>
        <w:rPr>
          <w:sz w:val="26"/>
          <w:szCs w:val="26"/>
        </w:rPr>
      </w:pPr>
      <w:r w:rsidRPr="00BF245F">
        <w:rPr>
          <w:sz w:val="26"/>
          <w:szCs w:val="26"/>
        </w:rPr>
        <w:t xml:space="preserve">Проектирование павильона и благоустройства земельного участка будет выполняться в соответствии с требованиями законодательства РФ, технических регламентов, </w:t>
      </w:r>
      <w:proofErr w:type="spellStart"/>
      <w:r w:rsidRPr="00BF245F">
        <w:rPr>
          <w:sz w:val="26"/>
          <w:szCs w:val="26"/>
        </w:rPr>
        <w:t>САНПиН</w:t>
      </w:r>
      <w:proofErr w:type="spellEnd"/>
      <w:r w:rsidRPr="00BF245F">
        <w:rPr>
          <w:sz w:val="26"/>
          <w:szCs w:val="26"/>
        </w:rPr>
        <w:t>, СНиП, СП</w:t>
      </w:r>
      <w:r w:rsidR="00344B71">
        <w:rPr>
          <w:sz w:val="26"/>
          <w:szCs w:val="26"/>
        </w:rPr>
        <w:t>, местными нормативами градостроительного проектирования, Правил</w:t>
      </w:r>
      <w:r w:rsidR="00787B34">
        <w:rPr>
          <w:sz w:val="26"/>
          <w:szCs w:val="26"/>
        </w:rPr>
        <w:t>ами</w:t>
      </w:r>
      <w:r w:rsidR="00344B71">
        <w:rPr>
          <w:sz w:val="26"/>
          <w:szCs w:val="26"/>
        </w:rPr>
        <w:t xml:space="preserve"> землепользования и </w:t>
      </w:r>
      <w:proofErr w:type="gramStart"/>
      <w:r w:rsidR="00344B71">
        <w:rPr>
          <w:sz w:val="26"/>
          <w:szCs w:val="26"/>
        </w:rPr>
        <w:t>застройки города</w:t>
      </w:r>
      <w:proofErr w:type="gramEnd"/>
      <w:r w:rsidR="00344B71">
        <w:rPr>
          <w:sz w:val="26"/>
          <w:szCs w:val="26"/>
        </w:rPr>
        <w:t xml:space="preserve"> Череповца</w:t>
      </w:r>
      <w:r w:rsidRPr="00BF245F">
        <w:rPr>
          <w:sz w:val="26"/>
          <w:szCs w:val="26"/>
        </w:rPr>
        <w:t>.</w:t>
      </w:r>
    </w:p>
    <w:p w:rsidR="00BF245F" w:rsidRPr="00BF245F" w:rsidRDefault="00BF245F" w:rsidP="00BF245F">
      <w:pPr>
        <w:ind w:firstLine="709"/>
        <w:jc w:val="both"/>
        <w:rPr>
          <w:sz w:val="26"/>
          <w:szCs w:val="26"/>
        </w:rPr>
      </w:pPr>
      <w:r w:rsidRPr="00BF245F">
        <w:rPr>
          <w:sz w:val="26"/>
          <w:szCs w:val="26"/>
        </w:rPr>
        <w:t>К внешнему виду павильона  предъ</w:t>
      </w:r>
      <w:r w:rsidR="00344B71">
        <w:rPr>
          <w:sz w:val="26"/>
          <w:szCs w:val="26"/>
        </w:rPr>
        <w:t>являют</w:t>
      </w:r>
      <w:r w:rsidRPr="00BF245F">
        <w:rPr>
          <w:sz w:val="26"/>
          <w:szCs w:val="26"/>
        </w:rPr>
        <w:t>ся следующие требования:</w:t>
      </w:r>
    </w:p>
    <w:p w:rsidR="00BF245F" w:rsidRPr="00BF245F" w:rsidRDefault="00BF245F" w:rsidP="00BF245F">
      <w:pPr>
        <w:ind w:firstLine="709"/>
        <w:jc w:val="both"/>
        <w:rPr>
          <w:sz w:val="26"/>
          <w:szCs w:val="26"/>
        </w:rPr>
      </w:pPr>
      <w:r w:rsidRPr="00BF245F">
        <w:rPr>
          <w:sz w:val="26"/>
          <w:szCs w:val="26"/>
        </w:rPr>
        <w:t xml:space="preserve">Объемно-пространственное решение </w:t>
      </w:r>
      <w:r w:rsidR="00344B71" w:rsidRPr="00BF245F">
        <w:rPr>
          <w:sz w:val="26"/>
          <w:szCs w:val="26"/>
        </w:rPr>
        <w:t>должн</w:t>
      </w:r>
      <w:r w:rsidR="00344B71">
        <w:rPr>
          <w:sz w:val="26"/>
          <w:szCs w:val="26"/>
        </w:rPr>
        <w:t>о</w:t>
      </w:r>
      <w:r w:rsidR="00344B71" w:rsidRPr="00BF245F">
        <w:rPr>
          <w:sz w:val="26"/>
          <w:szCs w:val="26"/>
        </w:rPr>
        <w:t xml:space="preserve"> </w:t>
      </w:r>
      <w:r w:rsidR="00344B71">
        <w:rPr>
          <w:sz w:val="26"/>
          <w:szCs w:val="26"/>
        </w:rPr>
        <w:t>учитывать</w:t>
      </w:r>
      <w:r w:rsidRPr="00BF245F">
        <w:rPr>
          <w:sz w:val="26"/>
          <w:szCs w:val="26"/>
        </w:rPr>
        <w:t xml:space="preserve"> лаконичное сочетание </w:t>
      </w:r>
      <w:proofErr w:type="spellStart"/>
      <w:r w:rsidRPr="00BF245F">
        <w:rPr>
          <w:sz w:val="26"/>
          <w:szCs w:val="26"/>
        </w:rPr>
        <w:t>разноформатных</w:t>
      </w:r>
      <w:proofErr w:type="spellEnd"/>
      <w:r w:rsidRPr="00BF245F">
        <w:rPr>
          <w:sz w:val="26"/>
          <w:szCs w:val="26"/>
        </w:rPr>
        <w:t xml:space="preserve"> объемов.</w:t>
      </w:r>
    </w:p>
    <w:p w:rsidR="00BF245F" w:rsidRPr="00BF245F" w:rsidRDefault="00BF245F" w:rsidP="00BF245F">
      <w:pPr>
        <w:ind w:firstLine="709"/>
        <w:jc w:val="both"/>
        <w:rPr>
          <w:sz w:val="26"/>
          <w:szCs w:val="26"/>
        </w:rPr>
      </w:pPr>
      <w:r w:rsidRPr="00BF245F">
        <w:rPr>
          <w:sz w:val="26"/>
          <w:szCs w:val="26"/>
        </w:rPr>
        <w:t>Оформление фасадов:</w:t>
      </w:r>
    </w:p>
    <w:p w:rsidR="00BF245F" w:rsidRPr="00BF245F" w:rsidRDefault="00BF245F" w:rsidP="00BF245F">
      <w:pPr>
        <w:ind w:firstLine="709"/>
        <w:jc w:val="both"/>
        <w:rPr>
          <w:sz w:val="26"/>
          <w:szCs w:val="26"/>
        </w:rPr>
      </w:pPr>
      <w:r w:rsidRPr="00BF245F">
        <w:rPr>
          <w:sz w:val="26"/>
          <w:szCs w:val="26"/>
        </w:rPr>
        <w:t xml:space="preserve">- облицовка стен, элементов фасадов - композитные панели, в том числе алюминиевые; </w:t>
      </w:r>
      <w:proofErr w:type="spellStart"/>
      <w:r w:rsidRPr="00BF245F">
        <w:rPr>
          <w:sz w:val="26"/>
          <w:szCs w:val="26"/>
        </w:rPr>
        <w:t>металлокассеты</w:t>
      </w:r>
      <w:proofErr w:type="spellEnd"/>
      <w:r w:rsidRPr="00BF245F">
        <w:rPr>
          <w:sz w:val="26"/>
          <w:szCs w:val="26"/>
        </w:rPr>
        <w:t xml:space="preserve">; плитки </w:t>
      </w:r>
      <w:proofErr w:type="spellStart"/>
      <w:r w:rsidRPr="00BF245F">
        <w:rPr>
          <w:sz w:val="26"/>
          <w:szCs w:val="26"/>
        </w:rPr>
        <w:t>карамогранита</w:t>
      </w:r>
      <w:proofErr w:type="spellEnd"/>
      <w:r w:rsidRPr="00BF245F">
        <w:rPr>
          <w:sz w:val="26"/>
          <w:szCs w:val="26"/>
        </w:rPr>
        <w:t xml:space="preserve"> и т.д., применение деревянных ламелей для декорирования фасадов;</w:t>
      </w:r>
    </w:p>
    <w:p w:rsidR="00BF245F" w:rsidRPr="00BF245F" w:rsidRDefault="00BF245F" w:rsidP="00BF245F">
      <w:pPr>
        <w:ind w:firstLine="709"/>
        <w:jc w:val="both"/>
        <w:rPr>
          <w:sz w:val="26"/>
          <w:szCs w:val="26"/>
        </w:rPr>
      </w:pPr>
      <w:r w:rsidRPr="00BF245F">
        <w:rPr>
          <w:sz w:val="26"/>
          <w:szCs w:val="26"/>
        </w:rPr>
        <w:t xml:space="preserve">-  максимальное витражное остекление в переплетах из алюминия; </w:t>
      </w:r>
    </w:p>
    <w:p w:rsidR="00BF245F" w:rsidRPr="00BF245F" w:rsidRDefault="00BF245F" w:rsidP="00BF245F">
      <w:pPr>
        <w:ind w:firstLine="709"/>
        <w:jc w:val="both"/>
        <w:rPr>
          <w:sz w:val="26"/>
          <w:szCs w:val="26"/>
        </w:rPr>
      </w:pPr>
      <w:r w:rsidRPr="00BF245F">
        <w:rPr>
          <w:sz w:val="26"/>
          <w:szCs w:val="26"/>
        </w:rPr>
        <w:t>- использование  объемных элементов, форм  для оформления фасадов;</w:t>
      </w:r>
    </w:p>
    <w:p w:rsidR="00BF245F" w:rsidRPr="00BF245F" w:rsidRDefault="00BF245F" w:rsidP="00BF245F">
      <w:pPr>
        <w:ind w:firstLine="709"/>
        <w:jc w:val="both"/>
        <w:rPr>
          <w:sz w:val="26"/>
          <w:szCs w:val="26"/>
        </w:rPr>
      </w:pPr>
      <w:r w:rsidRPr="00BF245F">
        <w:rPr>
          <w:sz w:val="26"/>
          <w:szCs w:val="26"/>
        </w:rPr>
        <w:t>- конструктивные элементы жесткости и крепления должны быть закрыты декоративными элементами;</w:t>
      </w:r>
    </w:p>
    <w:p w:rsidR="00BF245F" w:rsidRPr="00BF245F" w:rsidRDefault="00BF245F" w:rsidP="00BF245F">
      <w:pPr>
        <w:ind w:firstLine="709"/>
        <w:jc w:val="both"/>
        <w:rPr>
          <w:sz w:val="26"/>
          <w:szCs w:val="26"/>
        </w:rPr>
      </w:pPr>
      <w:r w:rsidRPr="00BF245F">
        <w:rPr>
          <w:sz w:val="26"/>
          <w:szCs w:val="26"/>
        </w:rPr>
        <w:t>- необходимо предусмотреть место для размещения вывески;</w:t>
      </w:r>
    </w:p>
    <w:p w:rsidR="00BF245F" w:rsidRPr="00BF245F" w:rsidRDefault="00BF245F" w:rsidP="00BF245F">
      <w:pPr>
        <w:ind w:firstLine="709"/>
        <w:jc w:val="both"/>
        <w:rPr>
          <w:sz w:val="26"/>
          <w:szCs w:val="26"/>
        </w:rPr>
      </w:pPr>
      <w:r w:rsidRPr="00BF245F">
        <w:rPr>
          <w:sz w:val="26"/>
          <w:szCs w:val="26"/>
        </w:rPr>
        <w:t>- разработать вариант светового праздничного оформления фасадов павильона.</w:t>
      </w:r>
    </w:p>
    <w:p w:rsidR="00BF245F" w:rsidRPr="00BF245F" w:rsidRDefault="00BF245F" w:rsidP="00BF245F">
      <w:pPr>
        <w:ind w:firstLine="709"/>
        <w:jc w:val="both"/>
        <w:rPr>
          <w:sz w:val="26"/>
          <w:szCs w:val="26"/>
        </w:rPr>
      </w:pPr>
      <w:r w:rsidRPr="00BF245F">
        <w:rPr>
          <w:sz w:val="26"/>
          <w:szCs w:val="26"/>
        </w:rPr>
        <w:t>Габаритные размеры  павильона</w:t>
      </w:r>
      <w:r w:rsidR="00344B71">
        <w:rPr>
          <w:sz w:val="26"/>
          <w:szCs w:val="26"/>
        </w:rPr>
        <w:t xml:space="preserve"> </w:t>
      </w:r>
      <w:r w:rsidR="00787B34">
        <w:rPr>
          <w:sz w:val="26"/>
          <w:szCs w:val="26"/>
        </w:rPr>
        <w:t>должны приниматься</w:t>
      </w:r>
      <w:r w:rsidRPr="00BF245F">
        <w:rPr>
          <w:sz w:val="26"/>
          <w:szCs w:val="26"/>
        </w:rPr>
        <w:t xml:space="preserve"> </w:t>
      </w:r>
      <w:r w:rsidR="00344B71">
        <w:rPr>
          <w:sz w:val="26"/>
          <w:szCs w:val="26"/>
        </w:rPr>
        <w:t xml:space="preserve">в соответствии с требованиями законодательства, с учетом </w:t>
      </w:r>
      <w:r w:rsidR="00D57E22">
        <w:rPr>
          <w:sz w:val="26"/>
          <w:szCs w:val="26"/>
        </w:rPr>
        <w:t>установленных максимальной высоты здания,</w:t>
      </w:r>
      <w:r w:rsidR="00344B71">
        <w:rPr>
          <w:sz w:val="26"/>
          <w:szCs w:val="26"/>
        </w:rPr>
        <w:t xml:space="preserve"> максимального процента застройки, озеленения, площади для бла</w:t>
      </w:r>
      <w:r w:rsidR="00D57E22">
        <w:rPr>
          <w:sz w:val="26"/>
          <w:szCs w:val="26"/>
        </w:rPr>
        <w:t>гоустройства, парковочных мест и т.д.</w:t>
      </w:r>
      <w:r w:rsidRPr="00BF245F">
        <w:rPr>
          <w:sz w:val="26"/>
          <w:szCs w:val="26"/>
        </w:rPr>
        <w:t xml:space="preserve"> </w:t>
      </w:r>
    </w:p>
    <w:p w:rsidR="00BF245F" w:rsidRPr="00BF245F" w:rsidRDefault="00BF245F" w:rsidP="00BF245F">
      <w:pPr>
        <w:ind w:firstLine="709"/>
        <w:jc w:val="both"/>
        <w:rPr>
          <w:sz w:val="26"/>
          <w:szCs w:val="26"/>
        </w:rPr>
      </w:pPr>
      <w:r w:rsidRPr="00BF245F">
        <w:rPr>
          <w:sz w:val="26"/>
          <w:szCs w:val="26"/>
        </w:rPr>
        <w:t>Проект благоустройства должен предусматривать:</w:t>
      </w:r>
    </w:p>
    <w:p w:rsidR="00BF245F" w:rsidRPr="00BF245F" w:rsidRDefault="00BF245F" w:rsidP="00BF245F">
      <w:pPr>
        <w:ind w:firstLine="709"/>
        <w:jc w:val="both"/>
        <w:rPr>
          <w:sz w:val="26"/>
          <w:szCs w:val="26"/>
        </w:rPr>
      </w:pPr>
      <w:r w:rsidRPr="00BF245F">
        <w:rPr>
          <w:sz w:val="26"/>
          <w:szCs w:val="26"/>
        </w:rPr>
        <w:lastRenderedPageBreak/>
        <w:t xml:space="preserve">- мероприятия, определенные требованиями технических регламентов, </w:t>
      </w:r>
      <w:proofErr w:type="spellStart"/>
      <w:r w:rsidRPr="00BF245F">
        <w:rPr>
          <w:sz w:val="26"/>
          <w:szCs w:val="26"/>
        </w:rPr>
        <w:t>САНПиН</w:t>
      </w:r>
      <w:proofErr w:type="spellEnd"/>
      <w:r w:rsidRPr="00BF245F">
        <w:rPr>
          <w:sz w:val="26"/>
          <w:szCs w:val="26"/>
        </w:rPr>
        <w:t>; СНиП, СП;</w:t>
      </w:r>
    </w:p>
    <w:p w:rsidR="00BF245F" w:rsidRPr="00BF245F" w:rsidRDefault="00BF245F" w:rsidP="00BF245F">
      <w:pPr>
        <w:ind w:firstLine="709"/>
        <w:jc w:val="both"/>
        <w:rPr>
          <w:sz w:val="26"/>
          <w:szCs w:val="26"/>
        </w:rPr>
      </w:pPr>
      <w:r w:rsidRPr="00BF245F">
        <w:rPr>
          <w:sz w:val="26"/>
          <w:szCs w:val="26"/>
        </w:rPr>
        <w:t>- эффективность решений в организации транспортных и пешеходных путей;</w:t>
      </w:r>
    </w:p>
    <w:p w:rsidR="00BF245F" w:rsidRPr="00BF245F" w:rsidRDefault="00BF245F" w:rsidP="00BF245F">
      <w:pPr>
        <w:ind w:firstLine="709"/>
        <w:jc w:val="both"/>
        <w:rPr>
          <w:sz w:val="26"/>
          <w:szCs w:val="26"/>
        </w:rPr>
      </w:pPr>
      <w:r w:rsidRPr="00BF245F">
        <w:rPr>
          <w:sz w:val="26"/>
          <w:szCs w:val="26"/>
        </w:rPr>
        <w:t>- обустройство площадки с плиточным покрытием для размещения павильона, пешеходных дорожек с плиточным покрытием</w:t>
      </w:r>
      <w:r w:rsidR="00787B34">
        <w:rPr>
          <w:sz w:val="26"/>
          <w:szCs w:val="26"/>
        </w:rPr>
        <w:t>;</w:t>
      </w:r>
    </w:p>
    <w:p w:rsidR="00D57E22" w:rsidRDefault="00D57E22" w:rsidP="00BF245F">
      <w:pPr>
        <w:ind w:firstLine="709"/>
        <w:jc w:val="both"/>
        <w:rPr>
          <w:sz w:val="26"/>
          <w:szCs w:val="26"/>
        </w:rPr>
      </w:pPr>
      <w:r>
        <w:rPr>
          <w:sz w:val="26"/>
          <w:szCs w:val="26"/>
        </w:rPr>
        <w:t>- обустройство площад</w:t>
      </w:r>
      <w:r w:rsidR="00787B34">
        <w:rPr>
          <w:sz w:val="26"/>
          <w:szCs w:val="26"/>
        </w:rPr>
        <w:t>ки для разгрузки автотранспорта;</w:t>
      </w:r>
    </w:p>
    <w:p w:rsidR="00BF245F" w:rsidRPr="00BF245F" w:rsidRDefault="00BF245F" w:rsidP="00BF245F">
      <w:pPr>
        <w:ind w:firstLine="709"/>
        <w:jc w:val="both"/>
        <w:rPr>
          <w:sz w:val="26"/>
          <w:szCs w:val="26"/>
        </w:rPr>
      </w:pPr>
      <w:r w:rsidRPr="00BF245F">
        <w:rPr>
          <w:sz w:val="26"/>
          <w:szCs w:val="26"/>
        </w:rPr>
        <w:t xml:space="preserve">- освещение  территории, размещение малых форм архитектуры (скамей,  урн, цветочниц и т.д.), озеленение территории, в том числе с применением элементов вертикального озеленения; </w:t>
      </w:r>
    </w:p>
    <w:p w:rsidR="00BF245F" w:rsidRPr="00BF245F" w:rsidRDefault="00BF245F" w:rsidP="00BF245F">
      <w:pPr>
        <w:ind w:firstLine="709"/>
        <w:jc w:val="both"/>
        <w:rPr>
          <w:sz w:val="26"/>
          <w:szCs w:val="26"/>
        </w:rPr>
      </w:pPr>
      <w:proofErr w:type="gramStart"/>
      <w:r w:rsidRPr="00BF245F">
        <w:rPr>
          <w:sz w:val="26"/>
          <w:szCs w:val="26"/>
        </w:rPr>
        <w:t xml:space="preserve">- обустройство площадки для размещения мобильных (на колесах) </w:t>
      </w:r>
      <w:proofErr w:type="spellStart"/>
      <w:r w:rsidRPr="00BF245F">
        <w:rPr>
          <w:sz w:val="26"/>
          <w:szCs w:val="26"/>
        </w:rPr>
        <w:t>мусороконтейнеров</w:t>
      </w:r>
      <w:proofErr w:type="spellEnd"/>
      <w:r w:rsidRPr="00BF245F">
        <w:rPr>
          <w:sz w:val="26"/>
          <w:szCs w:val="26"/>
        </w:rPr>
        <w:t xml:space="preserve"> с крышками.</w:t>
      </w:r>
      <w:proofErr w:type="gramEnd"/>
    </w:p>
    <w:p w:rsidR="00BF245F" w:rsidRPr="00BF245F" w:rsidRDefault="00D57E22" w:rsidP="00BF245F">
      <w:pPr>
        <w:ind w:firstLine="709"/>
        <w:jc w:val="both"/>
        <w:rPr>
          <w:sz w:val="26"/>
          <w:szCs w:val="26"/>
        </w:rPr>
      </w:pPr>
      <w:r>
        <w:rPr>
          <w:sz w:val="26"/>
          <w:szCs w:val="26"/>
        </w:rPr>
        <w:t>П</w:t>
      </w:r>
      <w:r w:rsidRPr="00BF245F">
        <w:rPr>
          <w:sz w:val="26"/>
          <w:szCs w:val="26"/>
        </w:rPr>
        <w:t>одключение павильона к объектам инженерных служб города</w:t>
      </w:r>
      <w:r>
        <w:rPr>
          <w:sz w:val="26"/>
          <w:szCs w:val="26"/>
        </w:rPr>
        <w:t xml:space="preserve"> будет осуществляться в соответствии с </w:t>
      </w:r>
      <w:r w:rsidR="00BF245F" w:rsidRPr="00BF245F">
        <w:rPr>
          <w:sz w:val="26"/>
          <w:szCs w:val="26"/>
        </w:rPr>
        <w:t xml:space="preserve">техническими условиями </w:t>
      </w:r>
      <w:proofErr w:type="spellStart"/>
      <w:r w:rsidR="00BF245F" w:rsidRPr="00BF245F">
        <w:rPr>
          <w:sz w:val="26"/>
          <w:szCs w:val="26"/>
        </w:rPr>
        <w:t>ресурсоснабжающих</w:t>
      </w:r>
      <w:proofErr w:type="spellEnd"/>
      <w:r w:rsidR="00BF245F" w:rsidRPr="00BF245F">
        <w:rPr>
          <w:sz w:val="26"/>
          <w:szCs w:val="26"/>
        </w:rPr>
        <w:t xml:space="preserve"> организаций города и с учетом существующих и ранее запроектированных инженерных коммуникаций.</w:t>
      </w:r>
    </w:p>
    <w:p w:rsidR="00D57E22" w:rsidRPr="00BF245F" w:rsidRDefault="00D57E22">
      <w:pPr>
        <w:ind w:firstLine="709"/>
        <w:jc w:val="both"/>
        <w:rPr>
          <w:sz w:val="26"/>
          <w:szCs w:val="26"/>
        </w:rPr>
      </w:pPr>
    </w:p>
    <w:sectPr w:rsidR="00D57E22" w:rsidRPr="00BF2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A6"/>
    <w:rsid w:val="00272847"/>
    <w:rsid w:val="00344B71"/>
    <w:rsid w:val="00431224"/>
    <w:rsid w:val="0052645D"/>
    <w:rsid w:val="005E60EE"/>
    <w:rsid w:val="00787B34"/>
    <w:rsid w:val="008D2A6A"/>
    <w:rsid w:val="00BF245F"/>
    <w:rsid w:val="00D57E22"/>
    <w:rsid w:val="00F92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Клочихина Татьяна Владимировна</dc:creator>
  <cp:lastModifiedBy>Клочихина Татьяна Владимировна</cp:lastModifiedBy>
  <cp:revision>4</cp:revision>
  <cp:lastPrinted>2020-07-06T04:58:00Z</cp:lastPrinted>
  <dcterms:created xsi:type="dcterms:W3CDTF">2020-07-03T12:12:00Z</dcterms:created>
  <dcterms:modified xsi:type="dcterms:W3CDTF">2020-07-06T09:12:00Z</dcterms:modified>
</cp:coreProperties>
</file>