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960" w:type="pct"/>
        <w:tblInd w:w="720" w:type="dxa"/>
        <w:tblLook w:val="04A0" w:firstRow="1" w:lastRow="0" w:firstColumn="1" w:lastColumn="0" w:noHBand="0" w:noVBand="1"/>
      </w:tblPr>
      <w:tblGrid>
        <w:gridCol w:w="467"/>
        <w:gridCol w:w="4279"/>
        <w:gridCol w:w="7818"/>
        <w:gridCol w:w="2610"/>
      </w:tblGrid>
      <w:tr w:rsidR="0043314B" w:rsidRPr="0043314B" w:rsidTr="00147344">
        <w:tc>
          <w:tcPr>
            <w:tcW w:w="154" w:type="pct"/>
            <w:vAlign w:val="center"/>
          </w:tcPr>
          <w:p w:rsidR="003F7CE1" w:rsidRPr="0043314B" w:rsidRDefault="00656C4F" w:rsidP="0043314B">
            <w:pPr>
              <w:pStyle w:val="ConsPlusNormal"/>
              <w:jc w:val="center"/>
            </w:pPr>
            <w:r w:rsidRPr="0043314B">
              <w:t>№</w:t>
            </w:r>
          </w:p>
        </w:tc>
        <w:tc>
          <w:tcPr>
            <w:tcW w:w="1410" w:type="pct"/>
            <w:vAlign w:val="center"/>
          </w:tcPr>
          <w:p w:rsidR="003F7CE1" w:rsidRPr="0043314B" w:rsidRDefault="00656C4F" w:rsidP="0043314B">
            <w:pPr>
              <w:pStyle w:val="ConsPlusNormal"/>
              <w:jc w:val="center"/>
            </w:pPr>
            <w:r w:rsidRPr="0043314B">
              <w:t>Раздел Схемы теплоснабжения</w:t>
            </w:r>
          </w:p>
        </w:tc>
        <w:tc>
          <w:tcPr>
            <w:tcW w:w="2576" w:type="pct"/>
            <w:vAlign w:val="center"/>
          </w:tcPr>
          <w:p w:rsidR="003F7CE1" w:rsidRPr="0043314B" w:rsidRDefault="00656C4F" w:rsidP="0043314B">
            <w:pPr>
              <w:pStyle w:val="ConsPlusNormal"/>
              <w:jc w:val="center"/>
            </w:pPr>
            <w:r w:rsidRPr="0043314B">
              <w:t>Замечания и предложения</w:t>
            </w:r>
            <w:r w:rsidR="001547B3">
              <w:t xml:space="preserve"> ООО «Газпром теплоэнерго Вологда</w:t>
            </w:r>
            <w:bookmarkStart w:id="0" w:name="_GoBack"/>
            <w:bookmarkEnd w:id="0"/>
            <w:r w:rsidR="001547B3">
              <w:t>»</w:t>
            </w:r>
          </w:p>
        </w:tc>
        <w:tc>
          <w:tcPr>
            <w:tcW w:w="860" w:type="pct"/>
            <w:vAlign w:val="center"/>
          </w:tcPr>
          <w:p w:rsidR="003F7CE1" w:rsidRPr="0043314B" w:rsidRDefault="00656C4F" w:rsidP="0043314B">
            <w:pPr>
              <w:pStyle w:val="ConsPlusNormal"/>
              <w:jc w:val="center"/>
            </w:pPr>
            <w:r w:rsidRPr="0043314B">
              <w:t>Основание</w:t>
            </w:r>
          </w:p>
        </w:tc>
      </w:tr>
      <w:tr w:rsidR="0043314B" w:rsidRPr="0043314B" w:rsidTr="00147344">
        <w:tc>
          <w:tcPr>
            <w:tcW w:w="154" w:type="pct"/>
          </w:tcPr>
          <w:p w:rsidR="003F7CE1" w:rsidRPr="0043314B" w:rsidRDefault="0043314B" w:rsidP="003F7CE1">
            <w:pPr>
              <w:pStyle w:val="ConsPlusNormal"/>
            </w:pPr>
            <w:r>
              <w:t>1</w:t>
            </w:r>
          </w:p>
        </w:tc>
        <w:tc>
          <w:tcPr>
            <w:tcW w:w="1410" w:type="pct"/>
          </w:tcPr>
          <w:p w:rsidR="003F7CE1" w:rsidRPr="0043314B" w:rsidRDefault="003F7CE1" w:rsidP="003F7CE1">
            <w:pPr>
              <w:pStyle w:val="ConsPlusNormal"/>
            </w:pPr>
            <w:r w:rsidRPr="0043314B">
              <w:t>Раздел 1 "Показатели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значения"</w:t>
            </w:r>
          </w:p>
        </w:tc>
        <w:tc>
          <w:tcPr>
            <w:tcW w:w="2576" w:type="pct"/>
            <w:shd w:val="clear" w:color="auto" w:fill="auto"/>
          </w:tcPr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</w:pPr>
            <w:r w:rsidRPr="0043314B">
              <w:t>Привести приросты отапливаемой площади строительных фондов по расчетным элементам территориального деления с разделением объектов строительства на индивидуальные жилые дома, общественные здания и производственные здания промышленных предприятий по этапам.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</w:pPr>
            <w:r w:rsidRPr="0043314B">
              <w:t>Привести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</w:pPr>
            <w:r w:rsidRPr="0043314B">
              <w:t>Результаты прогнозирования спроса на тепловую энергию (мощность), теплоноситель представить по следующим подразделам: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  <w:jc w:val="both"/>
            </w:pPr>
            <w:r w:rsidRPr="0043314B">
              <w:t xml:space="preserve">прогноз спроса на тепловую энергию (мощность), теплоноситель для целей отопления, вентиляции и горячего водоснабжения, </w:t>
            </w:r>
            <w:r w:rsidRPr="0043314B">
              <w:rPr>
                <w:b/>
              </w:rPr>
              <w:t>многоквартирных домов</w:t>
            </w:r>
            <w:r w:rsidRPr="0043314B">
              <w:t>, в отношении которых осуществляется разработка проектной документации для их строительства или реконструкции;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  <w:jc w:val="both"/>
            </w:pPr>
            <w:r w:rsidRPr="0043314B">
              <w:t xml:space="preserve">прогноз спроса на тепловую энергию (мощность), теплоноситель для целей отопления, вентиляции и горячего водоснабжения </w:t>
            </w:r>
            <w:r w:rsidRPr="0043314B">
              <w:rPr>
                <w:b/>
              </w:rPr>
              <w:t>индивидуального жилищного строительства</w:t>
            </w:r>
            <w:r w:rsidRPr="0043314B">
              <w:t>, в отношении которых осуществляется разработка проектной документации для их строительства или реконструкции;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  <w:jc w:val="both"/>
            </w:pPr>
            <w:r w:rsidRPr="0043314B">
              <w:t xml:space="preserve">прогноз спроса на тепловую энергию (мощность), теплоноситель для целей отопления, вентиляции и горячего водоснабжения объектов нежилого </w:t>
            </w:r>
            <w:r w:rsidRPr="0043314B">
              <w:rPr>
                <w:b/>
              </w:rPr>
              <w:t>фонда</w:t>
            </w:r>
            <w:r w:rsidRPr="0043314B">
              <w:t>, в отношении которых осуществляется разработка проектной документации для их строительства или реконструкции;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  <w:jc w:val="both"/>
            </w:pPr>
            <w:r w:rsidRPr="0043314B">
              <w:t xml:space="preserve">прогноз спроса на тепловую энергию (мощность), теплоноситель (горячая вода, пар) для целей отопления, вентиляции и горячего водоснабжения </w:t>
            </w:r>
            <w:r w:rsidRPr="0043314B">
              <w:rPr>
                <w:b/>
              </w:rPr>
              <w:t>производственных потребителей</w:t>
            </w:r>
            <w:r w:rsidRPr="0043314B">
              <w:t>, в отношении которых осуществляется разработка проектной документации для их строительства или реконструкции;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6"/>
              </w:numPr>
              <w:jc w:val="both"/>
            </w:pPr>
            <w:r w:rsidRPr="0043314B">
              <w:t>прогноз спроса на тепловую энергию (мощность), теплоноситель (горячая вода, пар) для целей обеспечения технологических процессов производственных потребителей;</w:t>
            </w:r>
          </w:p>
        </w:tc>
        <w:tc>
          <w:tcPr>
            <w:tcW w:w="860" w:type="pct"/>
          </w:tcPr>
          <w:p w:rsidR="003F7CE1" w:rsidRPr="0043314B" w:rsidRDefault="003F7CE1" w:rsidP="003F7CE1">
            <w:pPr>
              <w:pStyle w:val="ConsPlusNormal"/>
            </w:pPr>
            <w:r w:rsidRPr="0043314B">
              <w:t xml:space="preserve">п.5 </w:t>
            </w:r>
            <w:proofErr w:type="spellStart"/>
            <w:r w:rsidRPr="0043314B">
              <w:t>пп</w:t>
            </w:r>
            <w:proofErr w:type="spellEnd"/>
            <w:r w:rsidRPr="0043314B">
              <w:t xml:space="preserve">. «а» </w:t>
            </w:r>
            <w:r w:rsidR="0043314B" w:rsidRPr="0043314B">
              <w:t>Постановление правительства Российской Федерации от 22 февраля 2012 г. N 154 «О требованиях к схемам теплоснабжения, порядку их разработки и утверждения» (далее Постановление № 154);</w:t>
            </w:r>
          </w:p>
          <w:p w:rsidR="003F7CE1" w:rsidRPr="0043314B" w:rsidRDefault="003F7CE1" w:rsidP="0043314B">
            <w:pPr>
              <w:pStyle w:val="ConsPlusNormal"/>
            </w:pPr>
            <w:r w:rsidRPr="0043314B">
              <w:t xml:space="preserve">п.5 </w:t>
            </w:r>
            <w:proofErr w:type="spellStart"/>
            <w:r w:rsidRPr="0043314B">
              <w:t>пп</w:t>
            </w:r>
            <w:proofErr w:type="spellEnd"/>
            <w:r w:rsidRPr="0043314B">
              <w:t xml:space="preserve">. «г» </w:t>
            </w:r>
            <w:r w:rsidR="0043314B" w:rsidRPr="0043314B">
              <w:t>П</w:t>
            </w:r>
            <w:r w:rsidRPr="0043314B">
              <w:t>остановлени</w:t>
            </w:r>
            <w:r w:rsidR="0043314B" w:rsidRPr="0043314B">
              <w:t>я</w:t>
            </w:r>
            <w:r w:rsidRPr="0043314B">
              <w:t xml:space="preserve"> №154</w:t>
            </w:r>
            <w:r w:rsidR="0043314B" w:rsidRPr="0043314B">
              <w:t xml:space="preserve">; </w:t>
            </w:r>
            <w:r w:rsidRPr="0043314B">
              <w:t xml:space="preserve">п.16 </w:t>
            </w:r>
            <w:r w:rsidR="0043314B" w:rsidRPr="0043314B">
              <w:t xml:space="preserve">Методических рекомендаций по разработке схем теплоснабжения </w:t>
            </w:r>
          </w:p>
        </w:tc>
      </w:tr>
      <w:tr w:rsidR="0043314B" w:rsidRPr="0043314B" w:rsidTr="00147344">
        <w:tc>
          <w:tcPr>
            <w:tcW w:w="154" w:type="pct"/>
          </w:tcPr>
          <w:p w:rsidR="003F7CE1" w:rsidRPr="0043314B" w:rsidRDefault="0043314B" w:rsidP="003F7CE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0" w:type="pct"/>
          </w:tcPr>
          <w:p w:rsidR="003F7CE1" w:rsidRPr="0043314B" w:rsidRDefault="00656C4F" w:rsidP="003F7CE1">
            <w:pPr>
              <w:pStyle w:val="ConsPlusNormal"/>
              <w:spacing w:before="240"/>
              <w:ind w:firstLine="540"/>
              <w:jc w:val="both"/>
            </w:pPr>
            <w:r w:rsidRPr="0043314B">
              <w:t xml:space="preserve">Раздел </w:t>
            </w:r>
            <w:r w:rsidR="003F7CE1" w:rsidRPr="0043314B">
              <w:t xml:space="preserve">2. </w:t>
            </w:r>
            <w:r w:rsidRPr="0043314B">
              <w:t>«</w:t>
            </w:r>
            <w:r w:rsidR="003F7CE1" w:rsidRPr="0043314B">
              <w:t xml:space="preserve">Существующие и перспективные балансы тепловой мощности источников тепловой энергии и тепловой нагрузки </w:t>
            </w:r>
            <w:r w:rsidRPr="0043314B">
              <w:t>потребителей»</w:t>
            </w:r>
          </w:p>
          <w:p w:rsidR="003F7CE1" w:rsidRPr="0043314B" w:rsidRDefault="003F7CE1" w:rsidP="003F7CE1">
            <w:pPr>
              <w:pStyle w:val="ConsPlusNormal"/>
            </w:pPr>
          </w:p>
        </w:tc>
        <w:tc>
          <w:tcPr>
            <w:tcW w:w="2576" w:type="pct"/>
          </w:tcPr>
          <w:p w:rsidR="003F7CE1" w:rsidRPr="0043314B" w:rsidRDefault="003F7CE1" w:rsidP="0043314B">
            <w:pPr>
              <w:pStyle w:val="ConsPlusNormal"/>
              <w:numPr>
                <w:ilvl w:val="0"/>
                <w:numId w:val="11"/>
              </w:numPr>
              <w:ind w:left="464" w:hanging="425"/>
            </w:pPr>
            <w:r w:rsidRPr="0043314B">
              <w:t>На схеме города с привязкой к планировочным кварталам (Рис.2.1) в зону действия котельной «Южная» не входит мкр.144. Теплоснабжение объектов планировочного квартала 144 осуществляется и планируется осуществлять от котельной «Южная».</w:t>
            </w:r>
          </w:p>
          <w:p w:rsidR="003F7CE1" w:rsidRPr="0043314B" w:rsidRDefault="003F7CE1" w:rsidP="0043314B">
            <w:pPr>
              <w:pStyle w:val="ConsPlusNormal"/>
              <w:numPr>
                <w:ilvl w:val="0"/>
                <w:numId w:val="11"/>
              </w:numPr>
              <w:ind w:left="464" w:hanging="425"/>
            </w:pPr>
            <w:r w:rsidRPr="0043314B">
              <w:t>На Рис. 2.2 «Перспективные зоны действия источников тепловой энергии во всех системах теплоснабжения г. Череповца на 2033 г.» не выделены перспективные зоны действия каждого из источников тепловой энергии</w:t>
            </w:r>
          </w:p>
        </w:tc>
        <w:tc>
          <w:tcPr>
            <w:tcW w:w="860" w:type="pct"/>
          </w:tcPr>
          <w:p w:rsidR="003F7CE1" w:rsidRPr="0043314B" w:rsidRDefault="003F7CE1" w:rsidP="003F7CE1">
            <w:pPr>
              <w:pStyle w:val="ConsPlusNormal"/>
            </w:pPr>
          </w:p>
          <w:p w:rsidR="003F7CE1" w:rsidRPr="0043314B" w:rsidRDefault="003F7CE1" w:rsidP="003F7CE1">
            <w:pPr>
              <w:pStyle w:val="ConsPlusNormal"/>
            </w:pPr>
          </w:p>
          <w:p w:rsidR="003F7CE1" w:rsidRPr="0043314B" w:rsidRDefault="003F7CE1" w:rsidP="003F7CE1">
            <w:pPr>
              <w:pStyle w:val="ConsPlusNormal"/>
            </w:pPr>
          </w:p>
          <w:p w:rsidR="003F7CE1" w:rsidRPr="0043314B" w:rsidRDefault="0084503D" w:rsidP="003F7CE1">
            <w:pPr>
              <w:pStyle w:val="ConsPlusNormal"/>
            </w:pPr>
            <w:r w:rsidRPr="0043314B">
              <w:t xml:space="preserve">п.21 </w:t>
            </w:r>
            <w:r w:rsidR="0043314B" w:rsidRPr="0043314B">
              <w:t>Методических рекомендаций по разработке схем теплоснабжения</w:t>
            </w:r>
          </w:p>
        </w:tc>
      </w:tr>
      <w:tr w:rsidR="0043314B" w:rsidRPr="0043314B" w:rsidTr="00147344">
        <w:tc>
          <w:tcPr>
            <w:tcW w:w="154" w:type="pct"/>
          </w:tcPr>
          <w:p w:rsidR="003F7CE1" w:rsidRPr="0043314B" w:rsidRDefault="0043314B" w:rsidP="003F7CE1">
            <w:pPr>
              <w:pStyle w:val="ConsPlusNormal"/>
            </w:pPr>
            <w:r>
              <w:t>3</w:t>
            </w:r>
          </w:p>
        </w:tc>
        <w:tc>
          <w:tcPr>
            <w:tcW w:w="1410" w:type="pct"/>
          </w:tcPr>
          <w:p w:rsidR="00DA6BF6" w:rsidRPr="0043314B" w:rsidRDefault="00656C4F" w:rsidP="00DA6BF6">
            <w:pPr>
              <w:pStyle w:val="ConsPlusNormal"/>
              <w:spacing w:before="240"/>
              <w:ind w:firstLine="540"/>
              <w:jc w:val="both"/>
            </w:pPr>
            <w:r w:rsidRPr="0043314B">
              <w:t xml:space="preserve">Раздел </w:t>
            </w:r>
            <w:r w:rsidR="00DA6BF6" w:rsidRPr="0043314B">
              <w:t xml:space="preserve">4. </w:t>
            </w:r>
            <w:r w:rsidRPr="0043314B">
              <w:t>«</w:t>
            </w:r>
            <w:r w:rsidR="00DA6BF6" w:rsidRPr="0043314B">
              <w:t xml:space="preserve">Основные положения мастер-плана развития систем теплоснабжения </w:t>
            </w:r>
            <w:proofErr w:type="spellStart"/>
            <w:r w:rsidR="00DA6BF6" w:rsidRPr="0043314B">
              <w:t>г</w:t>
            </w:r>
            <w:proofErr w:type="gramStart"/>
            <w:r w:rsidR="00DA6BF6" w:rsidRPr="0043314B">
              <w:t>.Ч</w:t>
            </w:r>
            <w:proofErr w:type="gramEnd"/>
            <w:r w:rsidR="00DA6BF6" w:rsidRPr="0043314B">
              <w:t>ереповца</w:t>
            </w:r>
            <w:proofErr w:type="spellEnd"/>
            <w:r w:rsidR="00DA6BF6" w:rsidRPr="0043314B">
              <w:t>.</w:t>
            </w:r>
            <w:r w:rsidRPr="0043314B">
              <w:t>»</w:t>
            </w:r>
          </w:p>
          <w:p w:rsidR="003F7CE1" w:rsidRPr="0043314B" w:rsidRDefault="003F7CE1" w:rsidP="003F7CE1">
            <w:pPr>
              <w:pStyle w:val="ConsPlusNormal"/>
            </w:pPr>
          </w:p>
        </w:tc>
        <w:tc>
          <w:tcPr>
            <w:tcW w:w="2576" w:type="pct"/>
          </w:tcPr>
          <w:p w:rsidR="00DA6BF6" w:rsidRPr="0043314B" w:rsidRDefault="00DA6BF6" w:rsidP="0043314B">
            <w:pPr>
              <w:pStyle w:val="ConsPlusNormal"/>
              <w:ind w:left="39"/>
            </w:pPr>
            <w:r w:rsidRPr="0043314B">
              <w:t>Мощность КГПУ, предполагаемых к строительству на котельной №3 и котельной «Северная», не соответствует ТЭО и проекту корректировки инвестиционной программы.</w:t>
            </w:r>
          </w:p>
          <w:p w:rsidR="003F7CE1" w:rsidRPr="0043314B" w:rsidRDefault="003F7CE1" w:rsidP="0043314B">
            <w:pPr>
              <w:pStyle w:val="ConsPlusNormal"/>
              <w:ind w:left="464" w:hanging="425"/>
            </w:pPr>
          </w:p>
        </w:tc>
        <w:tc>
          <w:tcPr>
            <w:tcW w:w="860" w:type="pct"/>
          </w:tcPr>
          <w:p w:rsidR="003F7CE1" w:rsidRPr="0043314B" w:rsidRDefault="003F7CE1" w:rsidP="003F7CE1">
            <w:pPr>
              <w:pStyle w:val="ConsPlusNormal"/>
            </w:pPr>
          </w:p>
        </w:tc>
      </w:tr>
      <w:tr w:rsidR="0043314B" w:rsidRPr="0043314B" w:rsidTr="00147344">
        <w:tc>
          <w:tcPr>
            <w:tcW w:w="154" w:type="pct"/>
          </w:tcPr>
          <w:p w:rsidR="00656C4F" w:rsidRPr="0043314B" w:rsidRDefault="0043314B" w:rsidP="003F7CE1">
            <w:pPr>
              <w:pStyle w:val="ConsPlusNormal"/>
            </w:pPr>
            <w:r>
              <w:t>4</w:t>
            </w:r>
          </w:p>
        </w:tc>
        <w:tc>
          <w:tcPr>
            <w:tcW w:w="1410" w:type="pct"/>
          </w:tcPr>
          <w:p w:rsidR="00656C4F" w:rsidRPr="0043314B" w:rsidRDefault="00656C4F" w:rsidP="00DA6BF6">
            <w:pPr>
              <w:pStyle w:val="ConsPlusNormal"/>
              <w:spacing w:before="240"/>
              <w:ind w:firstLine="540"/>
              <w:jc w:val="both"/>
            </w:pPr>
            <w:r w:rsidRPr="0043314B">
              <w:t>Раздел 5.2. «Предложения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</w:t>
            </w:r>
            <w:r w:rsidRPr="0043314B">
              <w:rPr>
                <w:spacing w:val="-7"/>
              </w:rPr>
              <w:t xml:space="preserve"> </w:t>
            </w:r>
            <w:r w:rsidRPr="0043314B">
              <w:t>энергии»</w:t>
            </w:r>
          </w:p>
        </w:tc>
        <w:tc>
          <w:tcPr>
            <w:tcW w:w="2576" w:type="pct"/>
          </w:tcPr>
          <w:p w:rsidR="00656C4F" w:rsidRPr="0043314B" w:rsidRDefault="00C818FF" w:rsidP="0043314B">
            <w:pPr>
              <w:autoSpaceDE w:val="0"/>
              <w:autoSpaceDN w:val="0"/>
              <w:adjustRightInd w:val="0"/>
              <w:ind w:firstLine="39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На основе 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анализ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а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фактических режимов работы котельной «Южная», 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а также 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сложивш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ей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ся ситуаци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и по строительству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и вводу перспективных объектов,  учитывая отсутствие источников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финансирования расширения котельной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, 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предлагается исключить </w:t>
            </w:r>
            <w:r w:rsidR="006E6AED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из актуализированной схемы теплоснабжения </w:t>
            </w:r>
            <w:r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>либо перенести на более поздний период</w:t>
            </w:r>
            <w:r w:rsidR="006E6AED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="00656C4F" w:rsidRPr="0043314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следующие мероприятия: </w:t>
            </w:r>
          </w:p>
          <w:p w:rsidR="00656C4F" w:rsidRPr="0043314B" w:rsidRDefault="00656C4F" w:rsidP="0043314B">
            <w:pPr>
              <w:autoSpaceDE w:val="0"/>
              <w:autoSpaceDN w:val="0"/>
              <w:adjustRightInd w:val="0"/>
              <w:ind w:left="464" w:hanging="425"/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</w:pPr>
            <w:r w:rsidRPr="0043314B"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  <w:t>1. Установка водогрейного котла мощностью 30 Гкал/</w:t>
            </w:r>
            <w:proofErr w:type="gramStart"/>
            <w:r w:rsidRPr="0043314B"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  <w:t>ч</w:t>
            </w:r>
            <w:proofErr w:type="gramEnd"/>
            <w:r w:rsidRPr="0043314B"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  <w:t xml:space="preserve"> на котельной «Южная», расположенной по адресу: г. Череповец, ул. Рыбинская, 61 - год реализации 2021 год.</w:t>
            </w:r>
          </w:p>
          <w:p w:rsidR="00656C4F" w:rsidRPr="0043314B" w:rsidRDefault="00656C4F" w:rsidP="0043314B">
            <w:pPr>
              <w:autoSpaceDE w:val="0"/>
              <w:autoSpaceDN w:val="0"/>
              <w:adjustRightInd w:val="0"/>
              <w:ind w:left="464" w:hanging="425"/>
              <w:rPr>
                <w:rFonts w:ascii="Times New Roman" w:hAnsi="Times New Roman" w:cs="Times New Roman"/>
              </w:rPr>
            </w:pPr>
            <w:r w:rsidRPr="0043314B"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  <w:t>2. Установка водогрейного котла мощностью 50 Гкал/</w:t>
            </w:r>
            <w:proofErr w:type="gramStart"/>
            <w:r w:rsidRPr="0043314B"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  <w:t>ч</w:t>
            </w:r>
            <w:proofErr w:type="gramEnd"/>
            <w:r w:rsidRPr="0043314B">
              <w:rPr>
                <w:rFonts w:ascii="Times New Roman" w:eastAsia="TimesNewRoman" w:hAnsi="Times New Roman" w:cs="Times New Roman"/>
                <w:i/>
                <w:iCs/>
                <w:sz w:val="26"/>
                <w:szCs w:val="26"/>
              </w:rPr>
              <w:t xml:space="preserve"> на котельной «Южная»; год реализации 2025 год.</w:t>
            </w:r>
          </w:p>
        </w:tc>
        <w:tc>
          <w:tcPr>
            <w:tcW w:w="860" w:type="pct"/>
          </w:tcPr>
          <w:p w:rsidR="00656C4F" w:rsidRPr="0043314B" w:rsidRDefault="006E6AED" w:rsidP="003F7CE1">
            <w:pPr>
              <w:pStyle w:val="ConsPlusNormal"/>
            </w:pPr>
            <w:r w:rsidRPr="0043314B">
              <w:t>Отчет НП «</w:t>
            </w:r>
            <w:proofErr w:type="spellStart"/>
            <w:r w:rsidRPr="0043314B">
              <w:t>Энергоэффективный</w:t>
            </w:r>
            <w:proofErr w:type="spellEnd"/>
            <w:r w:rsidRPr="0043314B">
              <w:t xml:space="preserve"> город»</w:t>
            </w:r>
          </w:p>
        </w:tc>
      </w:tr>
      <w:tr w:rsidR="0043314B" w:rsidRPr="0043314B" w:rsidTr="00147344">
        <w:tc>
          <w:tcPr>
            <w:tcW w:w="154" w:type="pct"/>
          </w:tcPr>
          <w:p w:rsidR="003F7CE1" w:rsidRPr="0043314B" w:rsidRDefault="0043314B" w:rsidP="003F7CE1">
            <w:pPr>
              <w:pStyle w:val="ConsPlusNormal"/>
            </w:pPr>
            <w:r>
              <w:t>5</w:t>
            </w:r>
          </w:p>
        </w:tc>
        <w:tc>
          <w:tcPr>
            <w:tcW w:w="1410" w:type="pct"/>
          </w:tcPr>
          <w:p w:rsidR="00DA6BF6" w:rsidRPr="0043314B" w:rsidRDefault="00656C4F" w:rsidP="00656C4F">
            <w:pPr>
              <w:pStyle w:val="ConsPlusNormal"/>
              <w:spacing w:before="240"/>
              <w:jc w:val="both"/>
            </w:pPr>
            <w:r w:rsidRPr="0043314B">
              <w:t xml:space="preserve">Раздел </w:t>
            </w:r>
            <w:r w:rsidR="00DA6BF6" w:rsidRPr="0043314B">
              <w:t xml:space="preserve">6. </w:t>
            </w:r>
            <w:r w:rsidRPr="0043314B">
              <w:t>«</w:t>
            </w:r>
            <w:r w:rsidR="00DA6BF6" w:rsidRPr="0043314B">
              <w:t>Предложения по строительству, реконструкции и (или) модернизации тепловых сетей</w:t>
            </w:r>
            <w:r w:rsidRPr="0043314B">
              <w:t>»</w:t>
            </w:r>
          </w:p>
          <w:p w:rsidR="003F7CE1" w:rsidRPr="0043314B" w:rsidRDefault="003F7CE1" w:rsidP="00DA6BF6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2576" w:type="pct"/>
          </w:tcPr>
          <w:p w:rsidR="00DA6BF6" w:rsidRPr="0043314B" w:rsidRDefault="00DA6BF6" w:rsidP="0043314B">
            <w:pPr>
              <w:pStyle w:val="ConsPlusNormal"/>
              <w:numPr>
                <w:ilvl w:val="0"/>
                <w:numId w:val="13"/>
              </w:numPr>
              <w:ind w:left="464" w:hanging="425"/>
            </w:pPr>
            <w:r w:rsidRPr="0043314B">
              <w:t>Наименование участков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городского округа, указать в соответствии с номерами проектных площадок, принятых в генеральном плане либо предоставить схему с расположением участков</w:t>
            </w:r>
          </w:p>
          <w:p w:rsidR="00DA6BF6" w:rsidRPr="0043314B" w:rsidRDefault="00DA6BF6" w:rsidP="0043314B">
            <w:pPr>
              <w:pStyle w:val="ConsPlusNormal"/>
              <w:numPr>
                <w:ilvl w:val="0"/>
                <w:numId w:val="13"/>
              </w:numPr>
              <w:ind w:left="464" w:hanging="425"/>
            </w:pPr>
            <w:r w:rsidRPr="0043314B">
              <w:t>Строительство тепловых сетей для подключения 107, 108, 109 МКР выполнить поэтапно:</w:t>
            </w:r>
          </w:p>
          <w:p w:rsidR="00DA6BF6" w:rsidRPr="0043314B" w:rsidRDefault="00DA6BF6" w:rsidP="0043314B">
            <w:pPr>
              <w:pStyle w:val="ConsPlusNormal"/>
              <w:ind w:left="464" w:hanging="425"/>
            </w:pPr>
            <w:r w:rsidRPr="0043314B">
              <w:t xml:space="preserve">1 этап – 2022 г. строительство участка </w:t>
            </w:r>
            <w:proofErr w:type="gramStart"/>
            <w:r w:rsidRPr="0043314B">
              <w:t>магистральной</w:t>
            </w:r>
            <w:proofErr w:type="gramEnd"/>
            <w:r w:rsidRPr="0043314B">
              <w:t xml:space="preserve"> т/с для подключения 108 </w:t>
            </w:r>
            <w:proofErr w:type="spellStart"/>
            <w:r w:rsidRPr="0043314B">
              <w:t>мкр</w:t>
            </w:r>
            <w:proofErr w:type="spellEnd"/>
            <w:r w:rsidRPr="0043314B">
              <w:t xml:space="preserve"> – Ду500, </w:t>
            </w:r>
            <w:r w:rsidRPr="0043314B">
              <w:rPr>
                <w:lang w:val="en-US"/>
              </w:rPr>
              <w:t>L</w:t>
            </w:r>
            <w:r w:rsidRPr="0043314B">
              <w:t xml:space="preserve">- </w:t>
            </w:r>
            <w:r w:rsidR="0084503D" w:rsidRPr="0043314B">
              <w:t>570</w:t>
            </w:r>
            <w:r w:rsidRPr="0043314B">
              <w:t xml:space="preserve"> м</w:t>
            </w:r>
          </w:p>
          <w:p w:rsidR="00DA6BF6" w:rsidRPr="0043314B" w:rsidRDefault="00DA6BF6" w:rsidP="0043314B">
            <w:pPr>
              <w:pStyle w:val="ConsPlusNormal"/>
              <w:ind w:left="464" w:hanging="425"/>
            </w:pPr>
            <w:r w:rsidRPr="0043314B">
              <w:t xml:space="preserve">2 этап – 2024 г. строительство участка </w:t>
            </w:r>
            <w:proofErr w:type="gramStart"/>
            <w:r w:rsidRPr="0043314B">
              <w:t>магистральной</w:t>
            </w:r>
            <w:proofErr w:type="gramEnd"/>
            <w:r w:rsidRPr="0043314B">
              <w:t xml:space="preserve"> т/с</w:t>
            </w:r>
            <w:r w:rsidR="0084503D" w:rsidRPr="0043314B">
              <w:t xml:space="preserve"> для подключения 107 МКР – Ду500, </w:t>
            </w:r>
            <w:r w:rsidR="0084503D" w:rsidRPr="0043314B">
              <w:rPr>
                <w:lang w:val="en-US"/>
              </w:rPr>
              <w:t>L</w:t>
            </w:r>
            <w:r w:rsidR="0084503D" w:rsidRPr="0043314B">
              <w:t>-</w:t>
            </w:r>
            <w:r w:rsidRPr="0043314B">
              <w:t xml:space="preserve"> </w:t>
            </w:r>
            <w:r w:rsidR="0084503D" w:rsidRPr="0043314B">
              <w:t>430 м</w:t>
            </w:r>
          </w:p>
          <w:p w:rsidR="0084503D" w:rsidRPr="0043314B" w:rsidRDefault="0084503D" w:rsidP="0043314B">
            <w:pPr>
              <w:pStyle w:val="ConsPlusNormal"/>
              <w:ind w:left="464" w:hanging="425"/>
            </w:pPr>
            <w:r w:rsidRPr="0043314B">
              <w:t xml:space="preserve">3 этап – 2028 г. строительство участка </w:t>
            </w:r>
            <w:proofErr w:type="gramStart"/>
            <w:r w:rsidRPr="0043314B">
              <w:t>магистральной</w:t>
            </w:r>
            <w:proofErr w:type="gramEnd"/>
            <w:r w:rsidRPr="0043314B">
              <w:t xml:space="preserve"> т/с для </w:t>
            </w:r>
            <w:r w:rsidRPr="0043314B">
              <w:lastRenderedPageBreak/>
              <w:t xml:space="preserve">подключения 109 МКР – Ду500, </w:t>
            </w:r>
            <w:r w:rsidRPr="0043314B">
              <w:rPr>
                <w:lang w:val="en-US"/>
              </w:rPr>
              <w:t>L</w:t>
            </w:r>
            <w:r w:rsidRPr="0043314B">
              <w:t>-600 м</w:t>
            </w:r>
          </w:p>
          <w:p w:rsidR="003F7CE1" w:rsidRPr="0043314B" w:rsidRDefault="0043314B" w:rsidP="0043314B">
            <w:pPr>
              <w:pStyle w:val="ConsPlusNormal"/>
              <w:numPr>
                <w:ilvl w:val="0"/>
                <w:numId w:val="13"/>
              </w:numPr>
              <w:ind w:left="464" w:hanging="425"/>
            </w:pPr>
            <w:r w:rsidRPr="0043314B">
              <w:t xml:space="preserve">Предусмотреть строительство </w:t>
            </w:r>
            <w:proofErr w:type="spellStart"/>
            <w:r w:rsidRPr="0043314B">
              <w:t>закольцовок</w:t>
            </w:r>
            <w:proofErr w:type="spellEnd"/>
            <w:r w:rsidRPr="0043314B">
              <w:t xml:space="preserve"> участков тепловых сетей 107, 108, 109 МКР</w:t>
            </w:r>
          </w:p>
        </w:tc>
        <w:tc>
          <w:tcPr>
            <w:tcW w:w="860" w:type="pct"/>
          </w:tcPr>
          <w:p w:rsidR="003F7CE1" w:rsidRPr="0043314B" w:rsidRDefault="003F7CE1" w:rsidP="003F7CE1">
            <w:pPr>
              <w:pStyle w:val="ConsPlusNormal"/>
            </w:pPr>
          </w:p>
        </w:tc>
      </w:tr>
      <w:tr w:rsidR="0043314B" w:rsidRPr="0043314B" w:rsidTr="00147344">
        <w:tc>
          <w:tcPr>
            <w:tcW w:w="154" w:type="pct"/>
          </w:tcPr>
          <w:p w:rsidR="006E6AED" w:rsidRPr="0043314B" w:rsidRDefault="0043314B" w:rsidP="003F7CE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0" w:type="pct"/>
          </w:tcPr>
          <w:p w:rsidR="006E6AED" w:rsidRPr="0043314B" w:rsidRDefault="006E6AED" w:rsidP="00656C4F">
            <w:pPr>
              <w:pStyle w:val="ConsPlusNormal"/>
              <w:spacing w:before="240"/>
              <w:jc w:val="both"/>
            </w:pPr>
            <w:r w:rsidRPr="0043314B">
              <w:t xml:space="preserve">Раздел 9.2. </w:t>
            </w:r>
            <w:proofErr w:type="gramStart"/>
            <w:r w:rsidRPr="0043314B">
              <w:t>«Предложения по величине необходимых инвестиций в строительство, реконструкцию, техническое перевооружение и (или модернизацию тепловых сетей, насосных станций и тепловых пунктов»</w:t>
            </w:r>
            <w:proofErr w:type="gramEnd"/>
          </w:p>
          <w:p w:rsidR="0034746A" w:rsidRPr="0043314B" w:rsidRDefault="0034746A" w:rsidP="00656C4F">
            <w:pPr>
              <w:pStyle w:val="ConsPlusNormal"/>
              <w:spacing w:before="240"/>
              <w:jc w:val="both"/>
            </w:pPr>
            <w:r w:rsidRPr="0043314B">
              <w:t>Книга 12 «Обоснование инвестиций в строительство, реконструкцию, техническое перевооружение и (или) модернизацию», Раздел 1.2. «Оценка финансовых потребностей для осуществления строительства, реконструкции, технического перевооружения и (или) модернизации тепловых сетей и сооружений на них»</w:t>
            </w:r>
          </w:p>
        </w:tc>
        <w:tc>
          <w:tcPr>
            <w:tcW w:w="2576" w:type="pct"/>
          </w:tcPr>
          <w:p w:rsidR="006E6AED" w:rsidRPr="0043314B" w:rsidRDefault="006E6AED" w:rsidP="0043314B">
            <w:pPr>
              <w:pStyle w:val="ConsPlusNormal"/>
              <w:ind w:left="39"/>
            </w:pPr>
            <w:r w:rsidRPr="0043314B">
              <w:t xml:space="preserve">Объем необходимых инвестиций для строительства тепловых сетей с целью подключения потребителей 107, </w:t>
            </w:r>
            <w:r w:rsidR="0034746A" w:rsidRPr="0043314B">
              <w:t xml:space="preserve">108, 109 </w:t>
            </w:r>
            <w:r w:rsidRPr="0043314B">
              <w:t>микрорайонов составляет:</w:t>
            </w:r>
          </w:p>
          <w:p w:rsidR="006E6AED" w:rsidRPr="0043314B" w:rsidRDefault="006E6AED" w:rsidP="0043314B">
            <w:pPr>
              <w:pStyle w:val="ConsPlusNormal"/>
              <w:numPr>
                <w:ilvl w:val="0"/>
                <w:numId w:val="15"/>
              </w:numPr>
              <w:ind w:left="464" w:hanging="425"/>
            </w:pPr>
            <w:r w:rsidRPr="0043314B">
              <w:t xml:space="preserve">1 этап – 2022 год – 99,77 </w:t>
            </w:r>
            <w:proofErr w:type="gramStart"/>
            <w:r w:rsidRPr="0043314B">
              <w:t>млн</w:t>
            </w:r>
            <w:proofErr w:type="gramEnd"/>
            <w:r w:rsidRPr="0043314B">
              <w:t xml:space="preserve"> руб. с НДС</w:t>
            </w:r>
          </w:p>
          <w:p w:rsidR="006E6AED" w:rsidRPr="0043314B" w:rsidRDefault="006E6AED" w:rsidP="0043314B">
            <w:pPr>
              <w:pStyle w:val="ConsPlusNormal"/>
              <w:numPr>
                <w:ilvl w:val="0"/>
                <w:numId w:val="15"/>
              </w:numPr>
              <w:ind w:left="464" w:hanging="425"/>
            </w:pPr>
            <w:r w:rsidRPr="0043314B">
              <w:t xml:space="preserve">2 этап – 2024 год – 134,58 </w:t>
            </w:r>
            <w:proofErr w:type="gramStart"/>
            <w:r w:rsidRPr="0043314B">
              <w:t>млн</w:t>
            </w:r>
            <w:proofErr w:type="gramEnd"/>
            <w:r w:rsidRPr="0043314B">
              <w:t xml:space="preserve"> руб. с НДС</w:t>
            </w:r>
          </w:p>
          <w:p w:rsidR="006E6AED" w:rsidRPr="0043314B" w:rsidRDefault="0034746A" w:rsidP="0043314B">
            <w:pPr>
              <w:pStyle w:val="ConsPlusNormal"/>
              <w:numPr>
                <w:ilvl w:val="0"/>
                <w:numId w:val="15"/>
              </w:numPr>
              <w:ind w:left="464" w:hanging="425"/>
            </w:pPr>
            <w:r w:rsidRPr="0043314B">
              <w:t xml:space="preserve">3 этап – 2028 год – 138,07 </w:t>
            </w:r>
            <w:proofErr w:type="gramStart"/>
            <w:r w:rsidRPr="0043314B">
              <w:t>млн</w:t>
            </w:r>
            <w:proofErr w:type="gramEnd"/>
            <w:r w:rsidRPr="0043314B">
              <w:t xml:space="preserve"> руб. с НДС</w:t>
            </w:r>
          </w:p>
        </w:tc>
        <w:tc>
          <w:tcPr>
            <w:tcW w:w="860" w:type="pct"/>
          </w:tcPr>
          <w:p w:rsidR="006E6AED" w:rsidRPr="0043314B" w:rsidRDefault="0034746A" w:rsidP="003F7CE1">
            <w:pPr>
              <w:pStyle w:val="ConsPlusNormal"/>
            </w:pPr>
            <w:r w:rsidRPr="0043314B">
              <w:t>НЦС 81-02-13-2017</w:t>
            </w:r>
          </w:p>
        </w:tc>
      </w:tr>
      <w:tr w:rsidR="0043314B" w:rsidTr="00147344">
        <w:tc>
          <w:tcPr>
            <w:tcW w:w="154" w:type="pct"/>
          </w:tcPr>
          <w:p w:rsidR="00A67F76" w:rsidRPr="0043314B" w:rsidRDefault="0043314B" w:rsidP="003F7CE1">
            <w:pPr>
              <w:pStyle w:val="ConsPlusNormal"/>
            </w:pPr>
            <w:r>
              <w:t>7</w:t>
            </w:r>
          </w:p>
        </w:tc>
        <w:tc>
          <w:tcPr>
            <w:tcW w:w="1410" w:type="pct"/>
          </w:tcPr>
          <w:p w:rsidR="00A67F76" w:rsidRPr="0043314B" w:rsidRDefault="00A67F76" w:rsidP="00656C4F">
            <w:pPr>
              <w:pStyle w:val="ConsPlusNormal"/>
              <w:spacing w:before="240"/>
              <w:jc w:val="both"/>
            </w:pPr>
            <w:r w:rsidRPr="0043314B">
              <w:t>Книга 12 «Обоснование инвестиций в строительство, реконструкцию, техническое перевооружение и (или) модернизацию», Раздел 2 «Обоснованные предложения по источникам инвестиций, обеспечивающие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сетей»</w:t>
            </w:r>
          </w:p>
        </w:tc>
        <w:tc>
          <w:tcPr>
            <w:tcW w:w="2576" w:type="pct"/>
            <w:shd w:val="clear" w:color="auto" w:fill="auto"/>
          </w:tcPr>
          <w:p w:rsidR="00A67F76" w:rsidRPr="0043314B" w:rsidRDefault="00A67F76" w:rsidP="0043314B">
            <w:pPr>
              <w:pStyle w:val="ConsPlusNormal"/>
              <w:ind w:left="39"/>
              <w:jc w:val="both"/>
            </w:pPr>
            <w:r w:rsidRPr="0043314B">
              <w:t xml:space="preserve">Считаем нецелесообразным строительство тепловых сетей для подключения перспективных потребителей 107, 108 МКР за счет платы за подключение. </w:t>
            </w:r>
          </w:p>
          <w:p w:rsidR="00A67F76" w:rsidRPr="0043314B" w:rsidRDefault="00A67F76" w:rsidP="0043314B">
            <w:pPr>
              <w:pStyle w:val="ConsPlusNormal"/>
              <w:ind w:left="39"/>
              <w:jc w:val="both"/>
            </w:pPr>
            <w:r w:rsidRPr="0043314B">
              <w:t xml:space="preserve">Строительство </w:t>
            </w:r>
            <w:r w:rsidR="00BF0E03">
              <w:t xml:space="preserve">участков магистральных </w:t>
            </w:r>
            <w:r w:rsidRPr="0043314B">
              <w:t>тепловых сет</w:t>
            </w:r>
            <w:r w:rsidR="001E019A" w:rsidRPr="0043314B">
              <w:t xml:space="preserve">ей для подключения </w:t>
            </w:r>
            <w:r w:rsidR="00BF0E03">
              <w:t xml:space="preserve">первой очереди строительства </w:t>
            </w:r>
            <w:r w:rsidR="001E019A" w:rsidRPr="0043314B">
              <w:t xml:space="preserve">объектов 107, 108 МКР при отсутствии комплексной застройки территории, приведет к резкому росту платы за подключение </w:t>
            </w:r>
            <w:r w:rsidR="00BF0E03">
              <w:t>для заявителей, технологическое присоединение которых к тепловым сетям будет осуществляться в соответствующем периоде. Другими словами, ограниченная группа заявителей понесет финансовую нагрузку по строительству тепловых сетей, предназначенных для теплоснабжения потребителей 107, 108 МКР.</w:t>
            </w:r>
          </w:p>
          <w:p w:rsidR="001E019A" w:rsidRDefault="001E019A" w:rsidP="00BF0E03">
            <w:pPr>
              <w:pStyle w:val="ConsPlusNormal"/>
              <w:ind w:left="39"/>
              <w:jc w:val="both"/>
            </w:pPr>
            <w:r w:rsidRPr="0043314B">
              <w:t>В качестве источника финансирования данных мероприятий предлагаем использовать заемные средства с последующим включением расходов на их возврат и обслуживание</w:t>
            </w:r>
            <w:r w:rsidR="0043314B" w:rsidRPr="0043314B">
              <w:t xml:space="preserve"> в тариф на тепловую энергию для потребителей г. Череповца.</w:t>
            </w:r>
            <w:r w:rsidR="00BF0E03" w:rsidRPr="0043314B">
              <w:t xml:space="preserve"> </w:t>
            </w:r>
          </w:p>
        </w:tc>
        <w:tc>
          <w:tcPr>
            <w:tcW w:w="860" w:type="pct"/>
          </w:tcPr>
          <w:p w:rsidR="00A67F76" w:rsidRDefault="00A67F76" w:rsidP="003F7CE1">
            <w:pPr>
              <w:pStyle w:val="ConsPlusNormal"/>
            </w:pPr>
          </w:p>
        </w:tc>
      </w:tr>
    </w:tbl>
    <w:p w:rsidR="007B254E" w:rsidRDefault="007B254E" w:rsidP="007B254E">
      <w:pPr>
        <w:pStyle w:val="ConsPlusNormal"/>
      </w:pPr>
    </w:p>
    <w:sectPr w:rsidR="007B254E" w:rsidSect="00147344">
      <w:pgSz w:w="16838" w:h="11906" w:orient="landscape"/>
      <w:pgMar w:top="624" w:right="113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75" w:rsidRDefault="00BD7875" w:rsidP="00501499">
      <w:pPr>
        <w:spacing w:after="0" w:line="240" w:lineRule="auto"/>
      </w:pPr>
      <w:r>
        <w:separator/>
      </w:r>
    </w:p>
  </w:endnote>
  <w:endnote w:type="continuationSeparator" w:id="0">
    <w:p w:rsidR="00BD7875" w:rsidRDefault="00BD7875" w:rsidP="0050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75" w:rsidRDefault="00BD7875" w:rsidP="00501499">
      <w:pPr>
        <w:spacing w:after="0" w:line="240" w:lineRule="auto"/>
      </w:pPr>
      <w:r>
        <w:separator/>
      </w:r>
    </w:p>
  </w:footnote>
  <w:footnote w:type="continuationSeparator" w:id="0">
    <w:p w:rsidR="00BD7875" w:rsidRDefault="00BD7875" w:rsidP="0050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753"/>
    <w:multiLevelType w:val="hybridMultilevel"/>
    <w:tmpl w:val="A566D084"/>
    <w:lvl w:ilvl="0" w:tplc="11B6D1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A04"/>
    <w:multiLevelType w:val="hybridMultilevel"/>
    <w:tmpl w:val="D4DCB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1954E5"/>
    <w:multiLevelType w:val="hybridMultilevel"/>
    <w:tmpl w:val="5126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7047"/>
    <w:multiLevelType w:val="hybridMultilevel"/>
    <w:tmpl w:val="68E0D336"/>
    <w:lvl w:ilvl="0" w:tplc="32F8C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9276B"/>
    <w:multiLevelType w:val="multilevel"/>
    <w:tmpl w:val="D0D405A0"/>
    <w:lvl w:ilvl="0">
      <w:start w:val="3"/>
      <w:numFmt w:val="decimal"/>
      <w:lvlText w:val="%1"/>
      <w:lvlJc w:val="left"/>
      <w:pPr>
        <w:ind w:left="3643" w:hanging="36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747" w:hanging="360"/>
      </w:pPr>
      <w:rPr>
        <w:rFonts w:hint="default"/>
        <w:b/>
        <w:bCs/>
        <w:w w:val="99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60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abstractNum w:abstractNumId="5">
    <w:nsid w:val="2992717D"/>
    <w:multiLevelType w:val="multilevel"/>
    <w:tmpl w:val="27FAEDAC"/>
    <w:lvl w:ilvl="0">
      <w:start w:val="9"/>
      <w:numFmt w:val="decimal"/>
      <w:lvlText w:val="%1."/>
      <w:lvlJc w:val="left"/>
      <w:pPr>
        <w:ind w:left="2465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59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5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4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ru-RU" w:eastAsia="ru-RU" w:bidi="ru-RU"/>
      </w:rPr>
    </w:lvl>
  </w:abstractNum>
  <w:abstractNum w:abstractNumId="6">
    <w:nsid w:val="2CF0213F"/>
    <w:multiLevelType w:val="hybridMultilevel"/>
    <w:tmpl w:val="3FC25C7A"/>
    <w:lvl w:ilvl="0" w:tplc="27043A4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890C1E"/>
    <w:multiLevelType w:val="multilevel"/>
    <w:tmpl w:val="91E22BB0"/>
    <w:lvl w:ilvl="0">
      <w:start w:val="6"/>
      <w:numFmt w:val="decimal"/>
      <w:lvlText w:val="%1"/>
      <w:lvlJc w:val="left"/>
      <w:pPr>
        <w:ind w:left="2291" w:hanging="361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63" w:hanging="36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838" w:hanging="428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5344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6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89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91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3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956" w:hanging="428"/>
      </w:pPr>
      <w:rPr>
        <w:rFonts w:hint="default"/>
        <w:lang w:val="ru-RU" w:eastAsia="ru-RU" w:bidi="ru-RU"/>
      </w:rPr>
    </w:lvl>
  </w:abstractNum>
  <w:abstractNum w:abstractNumId="8">
    <w:nsid w:val="394376AD"/>
    <w:multiLevelType w:val="hybridMultilevel"/>
    <w:tmpl w:val="3C6C8956"/>
    <w:lvl w:ilvl="0" w:tplc="27043A4A">
      <w:start w:val="1"/>
      <w:numFmt w:val="bullet"/>
      <w:lvlText w:val="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45255C9C"/>
    <w:multiLevelType w:val="hybridMultilevel"/>
    <w:tmpl w:val="9DCADE9C"/>
    <w:lvl w:ilvl="0" w:tplc="0E5AE0E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BA0DE0"/>
    <w:multiLevelType w:val="multilevel"/>
    <w:tmpl w:val="872E5B6C"/>
    <w:lvl w:ilvl="0">
      <w:start w:val="38"/>
      <w:numFmt w:val="decimal"/>
      <w:lvlText w:val="%1."/>
      <w:lvlJc w:val="left"/>
      <w:pPr>
        <w:ind w:left="820" w:hanging="428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715" w:hanging="375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3304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0" w:hanging="360"/>
      </w:pPr>
      <w:rPr>
        <w:rFonts w:hint="default"/>
        <w:lang w:val="ru-RU" w:eastAsia="ru-RU" w:bidi="ru-RU"/>
      </w:rPr>
    </w:lvl>
  </w:abstractNum>
  <w:abstractNum w:abstractNumId="11">
    <w:nsid w:val="4874575C"/>
    <w:multiLevelType w:val="hybridMultilevel"/>
    <w:tmpl w:val="74A07B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9242A2B"/>
    <w:multiLevelType w:val="multilevel"/>
    <w:tmpl w:val="CDDE3292"/>
    <w:lvl w:ilvl="0">
      <w:start w:val="2"/>
      <w:numFmt w:val="decimal"/>
      <w:lvlText w:val="%1"/>
      <w:lvlJc w:val="left"/>
      <w:pPr>
        <w:ind w:left="2006" w:hanging="360"/>
        <w:jc w:val="righ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006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02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0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</w:abstractNum>
  <w:abstractNum w:abstractNumId="13">
    <w:nsid w:val="70A70D85"/>
    <w:multiLevelType w:val="hybridMultilevel"/>
    <w:tmpl w:val="C960E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05DDA"/>
    <w:multiLevelType w:val="hybridMultilevel"/>
    <w:tmpl w:val="0396CC1C"/>
    <w:lvl w:ilvl="0" w:tplc="EAAA262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344958"/>
    <w:multiLevelType w:val="hybridMultilevel"/>
    <w:tmpl w:val="1BCA7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F5"/>
    <w:rsid w:val="00147344"/>
    <w:rsid w:val="001547B3"/>
    <w:rsid w:val="001E019A"/>
    <w:rsid w:val="0034228A"/>
    <w:rsid w:val="0034746A"/>
    <w:rsid w:val="003F7CE1"/>
    <w:rsid w:val="00411053"/>
    <w:rsid w:val="0043314B"/>
    <w:rsid w:val="0047249E"/>
    <w:rsid w:val="004A6427"/>
    <w:rsid w:val="004D74AA"/>
    <w:rsid w:val="004F5B61"/>
    <w:rsid w:val="00501499"/>
    <w:rsid w:val="00575E79"/>
    <w:rsid w:val="005B4A89"/>
    <w:rsid w:val="00646436"/>
    <w:rsid w:val="00656C4F"/>
    <w:rsid w:val="00672C6C"/>
    <w:rsid w:val="006A30DC"/>
    <w:rsid w:val="006D060B"/>
    <w:rsid w:val="006E6AED"/>
    <w:rsid w:val="007B254E"/>
    <w:rsid w:val="0084503D"/>
    <w:rsid w:val="008D5563"/>
    <w:rsid w:val="009013F9"/>
    <w:rsid w:val="00A67F76"/>
    <w:rsid w:val="00BD7875"/>
    <w:rsid w:val="00BF0E03"/>
    <w:rsid w:val="00C133A2"/>
    <w:rsid w:val="00C2421C"/>
    <w:rsid w:val="00C818FF"/>
    <w:rsid w:val="00DA6BF6"/>
    <w:rsid w:val="00E86754"/>
    <w:rsid w:val="00F517AF"/>
    <w:rsid w:val="00FE1CF5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13F9"/>
    <w:pPr>
      <w:widowControl w:val="0"/>
      <w:autoSpaceDE w:val="0"/>
      <w:autoSpaceDN w:val="0"/>
      <w:spacing w:after="0" w:line="240" w:lineRule="auto"/>
      <w:ind w:left="887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1CF5"/>
    <w:pPr>
      <w:ind w:left="720"/>
      <w:contextualSpacing/>
    </w:pPr>
  </w:style>
  <w:style w:type="paragraph" w:customStyle="1" w:styleId="ConsPlusNormal">
    <w:name w:val="ConsPlusNormal"/>
    <w:rsid w:val="008D5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013F9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86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499"/>
  </w:style>
  <w:style w:type="paragraph" w:styleId="a6">
    <w:name w:val="footer"/>
    <w:basedOn w:val="a"/>
    <w:link w:val="a7"/>
    <w:uiPriority w:val="99"/>
    <w:unhideWhenUsed/>
    <w:rsid w:val="005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499"/>
  </w:style>
  <w:style w:type="paragraph" w:styleId="a8">
    <w:name w:val="Balloon Text"/>
    <w:basedOn w:val="a"/>
    <w:link w:val="a9"/>
    <w:uiPriority w:val="99"/>
    <w:semiHidden/>
    <w:unhideWhenUsed/>
    <w:rsid w:val="0050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49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F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13F9"/>
    <w:pPr>
      <w:widowControl w:val="0"/>
      <w:autoSpaceDE w:val="0"/>
      <w:autoSpaceDN w:val="0"/>
      <w:spacing w:after="0" w:line="240" w:lineRule="auto"/>
      <w:ind w:left="887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1CF5"/>
    <w:pPr>
      <w:ind w:left="720"/>
      <w:contextualSpacing/>
    </w:pPr>
  </w:style>
  <w:style w:type="paragraph" w:customStyle="1" w:styleId="ConsPlusNormal">
    <w:name w:val="ConsPlusNormal"/>
    <w:rsid w:val="008D5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013F9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86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499"/>
  </w:style>
  <w:style w:type="paragraph" w:styleId="a6">
    <w:name w:val="footer"/>
    <w:basedOn w:val="a"/>
    <w:link w:val="a7"/>
    <w:uiPriority w:val="99"/>
    <w:unhideWhenUsed/>
    <w:rsid w:val="0050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499"/>
  </w:style>
  <w:style w:type="paragraph" w:styleId="a8">
    <w:name w:val="Balloon Text"/>
    <w:basedOn w:val="a"/>
    <w:link w:val="a9"/>
    <w:uiPriority w:val="99"/>
    <w:semiHidden/>
    <w:unhideWhenUsed/>
    <w:rsid w:val="0050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49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F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Смирнов</dc:creator>
  <cp:lastModifiedBy>Смирнова</cp:lastModifiedBy>
  <cp:revision>2</cp:revision>
  <cp:lastPrinted>2019-05-21T13:43:00Z</cp:lastPrinted>
  <dcterms:created xsi:type="dcterms:W3CDTF">2019-06-03T10:03:00Z</dcterms:created>
  <dcterms:modified xsi:type="dcterms:W3CDTF">2019-06-03T10:03:00Z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-1433336318</vt:i4>
  </property>
  <property fmtid="{D5CDD505-2E9C-101B-9397-08002B2CF9AE}" pid="3" name="_NewReviewCycle">
    <vt:lpwstr/>
  </property>
  <property fmtid="{D5CDD505-2E9C-101B-9397-08002B2CF9AE}" pid="4" name="_EmailSubject">
    <vt:lpwstr>О размещении замечаний к схеме теплоснабжения</vt:lpwstr>
  </property>
  <property fmtid="{D5CDD505-2E9C-101B-9397-08002B2CF9AE}" pid="5" name="_AuthorEmail">
    <vt:lpwstr>analitik2.djkh@cherepovetscity.ru</vt:lpwstr>
  </property>
  <property fmtid="{D5CDD505-2E9C-101B-9397-08002B2CF9AE}" pid="6" name="_AuthorEmailDisplayName">
    <vt:lpwstr>Смирнова Анна Николаевна</vt:lpwstr>
  </property>
</Properties>
</file>