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9C6CB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 правового акта)</w:t>
      </w:r>
    </w:p>
    <w:p w:rsidR="009912AF" w:rsidRDefault="009912AF" w:rsidP="00A870C5">
      <w:pPr>
        <w:jc w:val="both"/>
        <w:rPr>
          <w:sz w:val="26"/>
          <w:szCs w:val="26"/>
        </w:rPr>
      </w:pPr>
    </w:p>
    <w:p w:rsidR="00A870C5" w:rsidRDefault="00A870C5">
      <w:pPr>
        <w:rPr>
          <w:sz w:val="26"/>
          <w:szCs w:val="26"/>
        </w:rPr>
      </w:pPr>
    </w:p>
    <w:p w:rsidR="00A870C5" w:rsidRDefault="00A870C5" w:rsidP="00A870C5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1F0CC7">
        <w:rPr>
          <w:sz w:val="26"/>
          <w:szCs w:val="26"/>
        </w:rPr>
        <w:t xml:space="preserve">В соответствии с порядком проведения оценки регулирующего воздействия Проектов нормативных правовых актов города Череповца, утвержденным  постановлением мэрии города от 29.02.2016 № 801 «Об организации оценки регулирующего воздействия Проектов нормативных правовых актов и экспертизы нормативных правовых актов» </w:t>
      </w:r>
      <w:r>
        <w:rPr>
          <w:sz w:val="26"/>
          <w:szCs w:val="26"/>
        </w:rPr>
        <w:t xml:space="preserve">(с изменениями) </w:t>
      </w:r>
      <w:r w:rsidRPr="001F0CC7">
        <w:rPr>
          <w:sz w:val="26"/>
          <w:szCs w:val="26"/>
        </w:rPr>
        <w:t>Приходько Елена Александровна начальник отдела аренды комитета по управлению имуществом города уведомляет о начале проведения публичных консультаций в целях оценки регулирующего воздействия Проекта</w:t>
      </w:r>
      <w:proofErr w:type="gramEnd"/>
      <w:r w:rsidRPr="001F0CC7">
        <w:rPr>
          <w:sz w:val="26"/>
          <w:szCs w:val="26"/>
        </w:rPr>
        <w:t xml:space="preserve"> правового акта </w:t>
      </w:r>
      <w:r w:rsidR="00A55BC0">
        <w:rPr>
          <w:sz w:val="26"/>
          <w:szCs w:val="26"/>
        </w:rPr>
        <w:t>«О внесении изменений в постановление мэрии города</w:t>
      </w:r>
      <w:r w:rsidR="00A55BC0" w:rsidRPr="0034746B">
        <w:rPr>
          <w:sz w:val="26"/>
          <w:szCs w:val="26"/>
        </w:rPr>
        <w:t xml:space="preserve"> </w:t>
      </w:r>
      <w:r w:rsidR="00A55BC0">
        <w:rPr>
          <w:sz w:val="26"/>
          <w:szCs w:val="26"/>
        </w:rPr>
        <w:t xml:space="preserve">от 25.12.2013 № 6263 «Об арендной плате </w:t>
      </w:r>
      <w:r w:rsidR="00A55BC0" w:rsidRPr="00D9604C">
        <w:rPr>
          <w:sz w:val="26"/>
          <w:szCs w:val="26"/>
        </w:rPr>
        <w:t>за использование земельных участков, находящихся в муниципальной со</w:t>
      </w:r>
      <w:r w:rsidR="00A55BC0" w:rsidRPr="00D9604C">
        <w:rPr>
          <w:sz w:val="26"/>
          <w:szCs w:val="26"/>
        </w:rPr>
        <w:t>б</w:t>
      </w:r>
      <w:r w:rsidR="00A55BC0" w:rsidRPr="00D9604C">
        <w:rPr>
          <w:sz w:val="26"/>
          <w:szCs w:val="26"/>
        </w:rPr>
        <w:t>ственности, об установлении ставок арендной платы и коэффициентов в отнош</w:t>
      </w:r>
      <w:r w:rsidR="00A55BC0" w:rsidRPr="00D9604C">
        <w:rPr>
          <w:sz w:val="26"/>
          <w:szCs w:val="26"/>
        </w:rPr>
        <w:t>е</w:t>
      </w:r>
      <w:r w:rsidR="00A55BC0" w:rsidRPr="00D9604C">
        <w:rPr>
          <w:sz w:val="26"/>
          <w:szCs w:val="26"/>
        </w:rPr>
        <w:t>нии земельных участков, государственная собственность на которые не разгран</w:t>
      </w:r>
      <w:r w:rsidR="00A55BC0" w:rsidRPr="00D9604C">
        <w:rPr>
          <w:sz w:val="26"/>
          <w:szCs w:val="26"/>
        </w:rPr>
        <w:t>и</w:t>
      </w:r>
      <w:r w:rsidR="00A55BC0" w:rsidRPr="00D9604C">
        <w:rPr>
          <w:sz w:val="26"/>
          <w:szCs w:val="26"/>
        </w:rPr>
        <w:t xml:space="preserve">чена» (в редакции постановления мэрии от </w:t>
      </w:r>
      <w:r w:rsidR="00A55BC0">
        <w:rPr>
          <w:sz w:val="26"/>
          <w:szCs w:val="26"/>
        </w:rPr>
        <w:t>06.06.2018</w:t>
      </w:r>
      <w:r w:rsidR="00A55BC0" w:rsidRPr="005A70C7">
        <w:rPr>
          <w:sz w:val="26"/>
          <w:szCs w:val="26"/>
        </w:rPr>
        <w:t xml:space="preserve"> № </w:t>
      </w:r>
      <w:r w:rsidR="00A55BC0">
        <w:rPr>
          <w:sz w:val="26"/>
          <w:szCs w:val="26"/>
        </w:rPr>
        <w:t>2525</w:t>
      </w:r>
      <w:r w:rsidR="00A55BC0" w:rsidRPr="00D9604C">
        <w:rPr>
          <w:sz w:val="26"/>
          <w:szCs w:val="26"/>
        </w:rPr>
        <w:t>)</w:t>
      </w:r>
      <w:r w:rsidRPr="001F0CC7">
        <w:rPr>
          <w:sz w:val="26"/>
          <w:szCs w:val="26"/>
        </w:rPr>
        <w:t>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 правового акта: </w:t>
      </w:r>
    </w:p>
    <w:p w:rsidR="00A870C5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0C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ФЗ № 131 проекты нормативных МПА,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воздействия.</w:t>
      </w:r>
    </w:p>
    <w:p w:rsidR="00A870C5" w:rsidRDefault="00A870C5" w:rsidP="00697F39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</w:t>
      </w:r>
      <w:r w:rsidR="00F2075C">
        <w:rPr>
          <w:rFonts w:ascii="Times New Roman" w:hAnsi="Times New Roman" w:cs="Times New Roman"/>
          <w:sz w:val="26"/>
          <w:szCs w:val="26"/>
        </w:rPr>
        <w:t xml:space="preserve">длагаемый способ регулирования: </w:t>
      </w:r>
      <w:r w:rsidRPr="001F0CC7">
        <w:rPr>
          <w:rFonts w:ascii="Times New Roman" w:hAnsi="Times New Roman" w:cs="Times New Roman"/>
          <w:sz w:val="26"/>
          <w:szCs w:val="26"/>
        </w:rPr>
        <w:t>арендная плата за ис</w:t>
      </w:r>
      <w:r w:rsidR="00B00F72">
        <w:rPr>
          <w:rFonts w:ascii="Times New Roman" w:hAnsi="Times New Roman" w:cs="Times New Roman"/>
          <w:sz w:val="26"/>
          <w:szCs w:val="26"/>
        </w:rPr>
        <w:t>пользование земельных участков.</w:t>
      </w:r>
    </w:p>
    <w:p w:rsidR="00B00F72" w:rsidRPr="008E0DC1" w:rsidRDefault="00A870C5" w:rsidP="00B00F72">
      <w:pPr>
        <w:ind w:firstLine="709"/>
        <w:jc w:val="both"/>
        <w:rPr>
          <w:sz w:val="26"/>
          <w:szCs w:val="26"/>
        </w:rPr>
      </w:pPr>
      <w:proofErr w:type="gramStart"/>
      <w:r w:rsidRPr="009A4163">
        <w:rPr>
          <w:rFonts w:eastAsiaTheme="minorHAnsi"/>
          <w:sz w:val="26"/>
          <w:szCs w:val="26"/>
          <w:lang w:eastAsia="en-US"/>
        </w:rPr>
        <w:t>Описание содержания предлагаемого регулирования: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00F72">
        <w:rPr>
          <w:rFonts w:eastAsiaTheme="minorHAnsi"/>
          <w:sz w:val="26"/>
          <w:szCs w:val="26"/>
          <w:lang w:eastAsia="en-US"/>
        </w:rPr>
        <w:t>у</w:t>
      </w:r>
      <w:r w:rsidR="00B00F72" w:rsidRPr="00FB74FB">
        <w:rPr>
          <w:sz w:val="26"/>
          <w:szCs w:val="26"/>
        </w:rPr>
        <w:t xml:space="preserve">читывая принцип экономической обоснованности, </w:t>
      </w:r>
      <w:r w:rsidR="00B00F72" w:rsidRPr="00B00F72">
        <w:rPr>
          <w:sz w:val="26"/>
          <w:szCs w:val="26"/>
        </w:rPr>
        <w:t xml:space="preserve">утвержденный </w:t>
      </w:r>
      <w:hyperlink r:id="rId5" w:anchor="text" w:history="1">
        <w:r w:rsidR="00B00F72" w:rsidRPr="00B00F72">
          <w:rPr>
            <w:rStyle w:val="a3"/>
            <w:bCs/>
            <w:color w:val="auto"/>
            <w:sz w:val="26"/>
            <w:szCs w:val="26"/>
            <w:u w:val="none"/>
          </w:rPr>
          <w:t>постано</w:t>
        </w:r>
        <w:r w:rsidR="00B00F72" w:rsidRPr="00B00F72">
          <w:rPr>
            <w:rStyle w:val="a3"/>
            <w:bCs/>
            <w:color w:val="auto"/>
            <w:sz w:val="26"/>
            <w:szCs w:val="26"/>
            <w:u w:val="none"/>
          </w:rPr>
          <w:t>в</w:t>
        </w:r>
        <w:r w:rsidR="00B00F72" w:rsidRPr="00B00F72">
          <w:rPr>
            <w:rStyle w:val="a3"/>
            <w:bCs/>
            <w:color w:val="auto"/>
            <w:sz w:val="26"/>
            <w:szCs w:val="26"/>
            <w:u w:val="none"/>
          </w:rPr>
          <w:t>лением Правительства РФ от 16.07.2009 № 582 "Об основных принципах определения арен</w:t>
        </w:r>
        <w:r w:rsidR="00B00F72" w:rsidRPr="00B00F72">
          <w:rPr>
            <w:rStyle w:val="a3"/>
            <w:bCs/>
            <w:color w:val="auto"/>
            <w:sz w:val="26"/>
            <w:szCs w:val="26"/>
            <w:u w:val="none"/>
          </w:rPr>
          <w:t>д</w:t>
        </w:r>
        <w:r w:rsidR="00B00F72" w:rsidRPr="00B00F72">
          <w:rPr>
            <w:rStyle w:val="a3"/>
            <w:bCs/>
            <w:color w:val="auto"/>
            <w:sz w:val="26"/>
            <w:szCs w:val="26"/>
            <w:u w:val="none"/>
          </w:rPr>
          <w:t>ной платы при аренде земельных участков, находящихся в государственной или м</w:t>
        </w:r>
        <w:r w:rsidR="00B00F72" w:rsidRPr="00B00F72">
          <w:rPr>
            <w:rStyle w:val="a3"/>
            <w:bCs/>
            <w:color w:val="auto"/>
            <w:sz w:val="26"/>
            <w:szCs w:val="26"/>
            <w:u w:val="none"/>
          </w:rPr>
          <w:t>у</w:t>
        </w:r>
        <w:r w:rsidR="00B00F72" w:rsidRPr="00B00F72">
          <w:rPr>
            <w:rStyle w:val="a3"/>
            <w:bCs/>
            <w:color w:val="auto"/>
            <w:sz w:val="26"/>
            <w:szCs w:val="26"/>
            <w:u w:val="none"/>
          </w:rPr>
          <w:t>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</w:t>
        </w:r>
        <w:r w:rsidR="00B00F72" w:rsidRPr="00B00F72">
          <w:rPr>
            <w:rStyle w:val="a3"/>
            <w:bCs/>
            <w:color w:val="auto"/>
            <w:sz w:val="26"/>
            <w:szCs w:val="26"/>
            <w:u w:val="none"/>
          </w:rPr>
          <w:t>о</w:t>
        </w:r>
        <w:r w:rsidR="00B00F72" w:rsidRPr="00B00F72">
          <w:rPr>
            <w:rStyle w:val="a3"/>
            <w:bCs/>
            <w:color w:val="auto"/>
            <w:sz w:val="26"/>
            <w:szCs w:val="26"/>
            <w:u w:val="none"/>
          </w:rPr>
          <w:t>сти Российской Федерации" (с изменениями и дополнениями)</w:t>
        </w:r>
      </w:hyperlink>
      <w:r w:rsidR="00B00F72" w:rsidRPr="00B00F72">
        <w:rPr>
          <w:sz w:val="26"/>
          <w:szCs w:val="26"/>
        </w:rPr>
        <w:t>, настоящим проектом</w:t>
      </w:r>
      <w:proofErr w:type="gramEnd"/>
      <w:r w:rsidR="00B00F72" w:rsidRPr="00B00F72">
        <w:rPr>
          <w:sz w:val="26"/>
          <w:szCs w:val="26"/>
        </w:rPr>
        <w:t xml:space="preserve"> постановления предлагается увеличить ставки арендной платы за использ</w:t>
      </w:r>
      <w:r w:rsidR="00B00F72" w:rsidRPr="00B00F72">
        <w:rPr>
          <w:sz w:val="26"/>
          <w:szCs w:val="26"/>
        </w:rPr>
        <w:t>о</w:t>
      </w:r>
      <w:r w:rsidR="00B00F72" w:rsidRPr="00B00F72">
        <w:rPr>
          <w:sz w:val="26"/>
          <w:szCs w:val="26"/>
        </w:rPr>
        <w:t>вание земельных участков в 2018 году на 4%, т.е. на предельный уровень инфляции 2018 года, утвержденный Федеральным законом РФ от 05.12.2017 № 362-ФЗ О фед</w:t>
      </w:r>
      <w:r w:rsidR="00B00F72" w:rsidRPr="00B00F72">
        <w:rPr>
          <w:sz w:val="26"/>
          <w:szCs w:val="26"/>
        </w:rPr>
        <w:t>е</w:t>
      </w:r>
      <w:r w:rsidR="00B00F72" w:rsidRPr="00B00F72">
        <w:rPr>
          <w:sz w:val="26"/>
          <w:szCs w:val="26"/>
        </w:rPr>
        <w:t>ральном бюджете на 2018 год и на плановый</w:t>
      </w:r>
      <w:r w:rsidR="00B00F72" w:rsidRPr="008E0DC1">
        <w:rPr>
          <w:sz w:val="26"/>
          <w:szCs w:val="26"/>
        </w:rPr>
        <w:t xml:space="preserve"> период 2019 и 2020 годов".</w:t>
      </w:r>
    </w:p>
    <w:p w:rsidR="00B00F72" w:rsidRPr="008E0DC1" w:rsidRDefault="00B00F72" w:rsidP="00B00F72">
      <w:pPr>
        <w:pStyle w:val="a9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E0DC1">
        <w:rPr>
          <w:sz w:val="26"/>
          <w:szCs w:val="26"/>
        </w:rPr>
        <w:t>Вместе с тем, в связи с увеличением с 01.01.2019 земельного налога в отнош</w:t>
      </w:r>
      <w:r w:rsidRPr="008E0DC1">
        <w:rPr>
          <w:sz w:val="26"/>
          <w:szCs w:val="26"/>
        </w:rPr>
        <w:t>е</w:t>
      </w:r>
      <w:r w:rsidRPr="008E0DC1">
        <w:rPr>
          <w:sz w:val="26"/>
          <w:szCs w:val="26"/>
        </w:rPr>
        <w:t>нии земель</w:t>
      </w:r>
      <w:r>
        <w:rPr>
          <w:sz w:val="26"/>
          <w:szCs w:val="26"/>
        </w:rPr>
        <w:t xml:space="preserve">ных участков, </w:t>
      </w:r>
      <w:r w:rsidRPr="008E0DC1">
        <w:rPr>
          <w:sz w:val="26"/>
          <w:szCs w:val="26"/>
        </w:rPr>
        <w:t>занятых гаражными кооперативами и индивидуальными г</w:t>
      </w:r>
      <w:r w:rsidRPr="008E0DC1">
        <w:rPr>
          <w:sz w:val="26"/>
          <w:szCs w:val="26"/>
        </w:rPr>
        <w:t>а</w:t>
      </w:r>
      <w:r w:rsidRPr="008E0DC1">
        <w:rPr>
          <w:sz w:val="26"/>
          <w:szCs w:val="26"/>
        </w:rPr>
        <w:t xml:space="preserve">ражами, на 83,15%, </w:t>
      </w:r>
      <w:r>
        <w:rPr>
          <w:sz w:val="26"/>
          <w:szCs w:val="26"/>
        </w:rPr>
        <w:t xml:space="preserve">а также </w:t>
      </w:r>
      <w:r w:rsidRPr="008E0DC1">
        <w:rPr>
          <w:sz w:val="26"/>
          <w:szCs w:val="26"/>
        </w:rPr>
        <w:t xml:space="preserve">учитывая </w:t>
      </w:r>
      <w:r>
        <w:rPr>
          <w:sz w:val="26"/>
          <w:szCs w:val="26"/>
        </w:rPr>
        <w:t>с</w:t>
      </w:r>
      <w:r w:rsidRPr="008E0DC1">
        <w:rPr>
          <w:sz w:val="26"/>
          <w:szCs w:val="26"/>
        </w:rPr>
        <w:t>ложивш</w:t>
      </w:r>
      <w:r>
        <w:rPr>
          <w:sz w:val="26"/>
          <w:szCs w:val="26"/>
        </w:rPr>
        <w:t>ую</w:t>
      </w:r>
      <w:r w:rsidRPr="008E0DC1">
        <w:rPr>
          <w:sz w:val="26"/>
          <w:szCs w:val="26"/>
        </w:rPr>
        <w:t>ся практик</w:t>
      </w:r>
      <w:r>
        <w:rPr>
          <w:sz w:val="26"/>
          <w:szCs w:val="26"/>
        </w:rPr>
        <w:t>у</w:t>
      </w:r>
      <w:r w:rsidRPr="008E0DC1">
        <w:rPr>
          <w:sz w:val="26"/>
          <w:szCs w:val="26"/>
        </w:rPr>
        <w:t xml:space="preserve"> арендных отношений</w:t>
      </w:r>
      <w:r>
        <w:rPr>
          <w:sz w:val="26"/>
          <w:szCs w:val="26"/>
        </w:rPr>
        <w:t>,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торая</w:t>
      </w:r>
      <w:r w:rsidRPr="008E0DC1">
        <w:rPr>
          <w:sz w:val="26"/>
          <w:szCs w:val="26"/>
        </w:rPr>
        <w:t xml:space="preserve"> доказывает необходимость установления ставок арендной платы выше ставок земельного на</w:t>
      </w:r>
      <w:r>
        <w:rPr>
          <w:sz w:val="26"/>
          <w:szCs w:val="26"/>
        </w:rPr>
        <w:t xml:space="preserve">лога, </w:t>
      </w:r>
      <w:r w:rsidRPr="008E0DC1">
        <w:rPr>
          <w:sz w:val="26"/>
          <w:szCs w:val="26"/>
        </w:rPr>
        <w:t xml:space="preserve">настоящим проектом постановления предлагается </w:t>
      </w:r>
      <w:r>
        <w:rPr>
          <w:sz w:val="26"/>
          <w:szCs w:val="26"/>
        </w:rPr>
        <w:t>увеличить 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ку арендной платы для гаражей пропорционально увеличению земельного налога (1,28% до 2,34%).</w:t>
      </w:r>
      <w:proofErr w:type="gramEnd"/>
    </w:p>
    <w:p w:rsidR="00B00F72" w:rsidRDefault="00B00F72" w:rsidP="00B00F72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Кроме того, предлагается в абзацах 8,9,10,12 Таблицы 2 </w:t>
      </w:r>
      <w:r w:rsidRPr="00D9604C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D9604C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«К</w:t>
      </w:r>
      <w:r w:rsidRPr="00D9604C">
        <w:rPr>
          <w:sz w:val="26"/>
          <w:szCs w:val="26"/>
        </w:rPr>
        <w:t>оэ</w:t>
      </w:r>
      <w:r w:rsidRPr="00D9604C">
        <w:rPr>
          <w:sz w:val="26"/>
          <w:szCs w:val="26"/>
        </w:rPr>
        <w:t>ф</w:t>
      </w:r>
      <w:r w:rsidRPr="00D9604C">
        <w:rPr>
          <w:sz w:val="26"/>
          <w:szCs w:val="26"/>
        </w:rPr>
        <w:t xml:space="preserve">фициенты </w:t>
      </w:r>
      <w:r>
        <w:rPr>
          <w:sz w:val="26"/>
          <w:szCs w:val="26"/>
        </w:rPr>
        <w:t xml:space="preserve">арендной платы за использование </w:t>
      </w:r>
      <w:r w:rsidRPr="00D9604C">
        <w:rPr>
          <w:sz w:val="26"/>
          <w:szCs w:val="26"/>
        </w:rPr>
        <w:t>земельных участков, находящихся в м</w:t>
      </w:r>
      <w:r w:rsidRPr="00D9604C">
        <w:rPr>
          <w:sz w:val="26"/>
          <w:szCs w:val="26"/>
        </w:rPr>
        <w:t>у</w:t>
      </w:r>
      <w:r w:rsidRPr="00D9604C">
        <w:rPr>
          <w:sz w:val="26"/>
          <w:szCs w:val="26"/>
        </w:rPr>
        <w:t>ниципальной собственности, а также земельных участков, государственная</w:t>
      </w:r>
      <w:r w:rsidRPr="00D9604C">
        <w:rPr>
          <w:sz w:val="26"/>
        </w:rPr>
        <w:t xml:space="preserve"> собстве</w:t>
      </w:r>
      <w:r w:rsidRPr="00D9604C">
        <w:rPr>
          <w:sz w:val="26"/>
        </w:rPr>
        <w:t>н</w:t>
      </w:r>
      <w:r w:rsidRPr="00D9604C">
        <w:rPr>
          <w:sz w:val="26"/>
        </w:rPr>
        <w:t>ность на которые не разграничена, на территории муниципального образования «Г</w:t>
      </w:r>
      <w:r w:rsidRPr="00D9604C">
        <w:rPr>
          <w:sz w:val="26"/>
        </w:rPr>
        <w:t>о</w:t>
      </w:r>
      <w:r w:rsidRPr="00D9604C">
        <w:rPr>
          <w:sz w:val="26"/>
        </w:rPr>
        <w:t>род Череповец»</w:t>
      </w:r>
      <w:r w:rsidRPr="00D9604C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 слово «стационарных», в связи с тем, что договоры аре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ды земельных участков, предоставленных для эксплуатации нестационарных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торговли и объектов по оказанию услуг</w:t>
      </w:r>
      <w:proofErr w:type="gramEnd"/>
      <w:r>
        <w:rPr>
          <w:sz w:val="26"/>
          <w:szCs w:val="26"/>
        </w:rPr>
        <w:t xml:space="preserve"> населения с 01.03.2015 не заключаются.</w:t>
      </w:r>
    </w:p>
    <w:p w:rsidR="00B00F72" w:rsidRDefault="00B00F72" w:rsidP="00B00F7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870C5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lastRenderedPageBreak/>
        <w:t>Основные   группы  субъектов  предпринимательской  и  инвестиционной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деятельности,  иные заинтересованные лица, включая органы государственной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власти  области и местного самоуправления области, интересы которых будут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затронуты  предлагаемым  правовым регулированием, оценка количества таких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субъектов:</w:t>
      </w:r>
    </w:p>
    <w:p w:rsidR="00F2075C" w:rsidRDefault="00F2075C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833"/>
      </w:tblGrid>
      <w:tr w:rsidR="00A870C5" w:rsidRPr="009A4163" w:rsidTr="00EF433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697F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697F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Количество субъектов в группе</w:t>
            </w:r>
          </w:p>
        </w:tc>
      </w:tr>
      <w:tr w:rsidR="00A870C5" w:rsidRPr="009A4163" w:rsidTr="00EF433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F2075C" w:rsidRDefault="00697F39" w:rsidP="00EF4335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Арендаторы земельных участков (физические и юридические лица)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Default="00EF4335" w:rsidP="00EF43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241 гаражно-строительный кооператив;</w:t>
            </w:r>
          </w:p>
          <w:p w:rsidR="00EF4335" w:rsidRDefault="00EF4335" w:rsidP="00EF43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778  </w:t>
            </w:r>
            <w:proofErr w:type="gramStart"/>
            <w:r>
              <w:rPr>
                <w:rFonts w:eastAsiaTheme="minorHAnsi"/>
                <w:lang w:eastAsia="en-US"/>
              </w:rPr>
              <w:t>физических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лица;</w:t>
            </w:r>
          </w:p>
          <w:p w:rsidR="00EF4335" w:rsidRDefault="00EF4335" w:rsidP="00EF43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 </w:t>
            </w:r>
            <w:proofErr w:type="gramStart"/>
            <w:r>
              <w:rPr>
                <w:rFonts w:eastAsiaTheme="minorHAnsi"/>
                <w:lang w:eastAsia="en-US"/>
              </w:rPr>
              <w:t>юридических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лица (не ГСК)</w:t>
            </w:r>
          </w:p>
          <w:p w:rsidR="00EF4335" w:rsidRPr="009A4163" w:rsidRDefault="00EF4335" w:rsidP="00BC70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2075C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4163">
        <w:rPr>
          <w:rFonts w:eastAsiaTheme="minorHAnsi"/>
          <w:lang w:eastAsia="en-US"/>
        </w:rPr>
        <w:t xml:space="preserve"> </w:t>
      </w:r>
    </w:p>
    <w:p w:rsidR="00A870C5" w:rsidRPr="009A4163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Проект акта предполагает:</w:t>
      </w:r>
    </w:p>
    <w:p w:rsidR="00A870C5" w:rsidRPr="009A4163" w:rsidRDefault="00A870C5" w:rsidP="00697F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3"/>
        <w:gridCol w:w="3698"/>
      </w:tblGrid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Да /нет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</w:tbl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870C5" w:rsidRPr="009A4163" w:rsidRDefault="00A870C5" w:rsidP="00D97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 xml:space="preserve">     По    мнению   разработчика  Проекта  правового  </w:t>
      </w:r>
      <w:proofErr w:type="gramStart"/>
      <w:r w:rsidRPr="009A4163">
        <w:rPr>
          <w:rFonts w:eastAsiaTheme="minorHAnsi"/>
          <w:sz w:val="26"/>
          <w:szCs w:val="26"/>
          <w:lang w:eastAsia="en-US"/>
        </w:rPr>
        <w:t>акта</w:t>
      </w:r>
      <w:proofErr w:type="gramEnd"/>
      <w:r w:rsidRPr="009A4163">
        <w:rPr>
          <w:rFonts w:eastAsiaTheme="minorHAnsi"/>
          <w:sz w:val="26"/>
          <w:szCs w:val="26"/>
          <w:lang w:eastAsia="en-US"/>
        </w:rPr>
        <w:t xml:space="preserve">  вышеуказанные</w:t>
      </w:r>
      <w:r w:rsidR="00D97709" w:rsidRPr="00F2075C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обязанности, запреты, ограничения / ответственность влекут:</w:t>
      </w:r>
    </w:p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1"/>
        <w:gridCol w:w="1841"/>
        <w:gridCol w:w="1988"/>
        <w:gridCol w:w="1983"/>
        <w:gridCol w:w="1993"/>
      </w:tblGrid>
      <w:tr w:rsidR="00A870C5" w:rsidRPr="009A4163" w:rsidTr="00F9487E">
        <w:tc>
          <w:tcPr>
            <w:tcW w:w="9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A870C5" w:rsidRPr="009A4163" w:rsidRDefault="00A870C5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4335">
              <w:rPr>
                <w:rFonts w:eastAsiaTheme="minorHAnsi"/>
                <w:u w:val="single"/>
                <w:lang w:eastAsia="en-US"/>
              </w:rPr>
              <w:t>Да</w:t>
            </w:r>
            <w:r w:rsidRPr="009A4163">
              <w:rPr>
                <w:rFonts w:eastAsiaTheme="minorHAnsi"/>
                <w:lang w:eastAsia="en-US"/>
              </w:rPr>
              <w:t>/</w:t>
            </w:r>
            <w:r w:rsidRPr="00EF4335">
              <w:rPr>
                <w:rFonts w:eastAsiaTheme="minorHAnsi"/>
                <w:lang w:eastAsia="en-US"/>
              </w:rPr>
              <w:t>нет</w:t>
            </w:r>
            <w:r w:rsidR="00F2075C" w:rsidRPr="00EF4335">
              <w:rPr>
                <w:rFonts w:eastAsiaTheme="minorHAnsi"/>
                <w:lang w:eastAsia="en-US"/>
              </w:rPr>
              <w:t xml:space="preserve"> </w:t>
            </w:r>
            <w:r w:rsidRPr="00EF4335">
              <w:rPr>
                <w:rFonts w:eastAsiaTheme="minorHAnsi"/>
                <w:lang w:eastAsia="en-US"/>
              </w:rPr>
              <w:t>(</w:t>
            </w:r>
            <w:r w:rsidRPr="009A4163">
              <w:rPr>
                <w:rFonts w:eastAsiaTheme="minorHAnsi"/>
                <w:lang w:eastAsia="en-US"/>
              </w:rPr>
              <w:t>нужное подчеркнуть)</w:t>
            </w:r>
          </w:p>
        </w:tc>
      </w:tr>
      <w:tr w:rsidR="00A870C5" w:rsidRPr="009A4163" w:rsidTr="00F9487E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</w:t>
            </w:r>
            <w:proofErr w:type="gramStart"/>
            <w:r w:rsidRPr="009A4163">
              <w:rPr>
                <w:rFonts w:eastAsiaTheme="minorHAnsi"/>
                <w:lang w:eastAsia="en-US"/>
              </w:rPr>
              <w:t>возникающих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Оценка размера </w:t>
            </w:r>
            <w:proofErr w:type="gramStart"/>
            <w:r w:rsidRPr="009A4163">
              <w:rPr>
                <w:rFonts w:eastAsiaTheme="minorHAnsi"/>
                <w:lang w:eastAsia="en-US"/>
              </w:rPr>
              <w:t>возникающих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F2075C" w:rsidRPr="00F2075C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Обоснование избыточности/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4163">
              <w:rPr>
                <w:rFonts w:eastAsiaTheme="minorHAnsi"/>
                <w:lang w:eastAsia="en-US"/>
              </w:rPr>
              <w:t>неизбыточности</w:t>
            </w:r>
            <w:proofErr w:type="spellEnd"/>
            <w:r w:rsidRPr="009A4163">
              <w:rPr>
                <w:rFonts w:eastAsiaTheme="minorHAnsi"/>
                <w:lang w:eastAsia="en-US"/>
              </w:rPr>
              <w:t xml:space="preserve"> возникающих/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A870C5" w:rsidRPr="009A4163" w:rsidTr="00F9487E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67323E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Увеличение годового размера арендной платы для арендаторов земельных </w:t>
            </w:r>
            <w:r>
              <w:rPr>
                <w:rFonts w:eastAsiaTheme="minorHAnsi"/>
                <w:lang w:eastAsia="en-US"/>
              </w:rPr>
              <w:lastRenderedPageBreak/>
              <w:t>участков, предоставленных для размещения гаражей, на 83,15%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67323E" w:rsidP="00673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Договорами аренды предусмотрено ежеквартальное внесение арендных </w:t>
            </w:r>
            <w:r>
              <w:rPr>
                <w:rFonts w:eastAsiaTheme="minorHAnsi"/>
                <w:lang w:eastAsia="en-US"/>
              </w:rPr>
              <w:lastRenderedPageBreak/>
              <w:t>платежей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lastRenderedPageBreak/>
              <w:t>-</w:t>
            </w:r>
          </w:p>
        </w:tc>
      </w:tr>
      <w:tr w:rsidR="00A870C5" w:rsidRPr="009A4163" w:rsidTr="00F9487E">
        <w:tc>
          <w:tcPr>
            <w:tcW w:w="9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lastRenderedPageBreak/>
              <w:t>Исключение / снижение издержек субъектов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предпринимательской и инвестиционной деятельности</w:t>
            </w:r>
          </w:p>
          <w:p w:rsidR="00A870C5" w:rsidRPr="009A4163" w:rsidRDefault="00A870C5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4335">
              <w:rPr>
                <w:rFonts w:eastAsiaTheme="minorHAnsi"/>
                <w:lang w:eastAsia="en-US"/>
              </w:rPr>
              <w:t>Да</w:t>
            </w:r>
            <w:r w:rsidRPr="009A4163">
              <w:rPr>
                <w:rFonts w:eastAsiaTheme="minorHAnsi"/>
                <w:lang w:eastAsia="en-US"/>
              </w:rPr>
              <w:t>/</w:t>
            </w:r>
            <w:r w:rsidRPr="00EF4335">
              <w:rPr>
                <w:rFonts w:eastAsiaTheme="minorHAnsi"/>
                <w:u w:val="single"/>
                <w:lang w:eastAsia="en-US"/>
              </w:rPr>
              <w:t>нет</w:t>
            </w:r>
            <w:r w:rsidR="00F2075C">
              <w:rPr>
                <w:rFonts w:eastAsiaTheme="minorHAnsi"/>
                <w:lang w:eastAsia="en-US"/>
              </w:rPr>
              <w:t xml:space="preserve"> </w:t>
            </w:r>
            <w:r w:rsidRPr="009A4163">
              <w:rPr>
                <w:rFonts w:eastAsiaTheme="minorHAnsi"/>
                <w:lang w:eastAsia="en-US"/>
              </w:rPr>
              <w:t>(нужное подчеркнуть)</w:t>
            </w:r>
          </w:p>
        </w:tc>
      </w:tr>
      <w:tr w:rsidR="00A870C5" w:rsidRPr="009A4163" w:rsidTr="00F9487E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Оценка и обоснование размера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и обоснование периодичности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Обоснование избыточности/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4163">
              <w:rPr>
                <w:rFonts w:eastAsiaTheme="minorHAnsi"/>
                <w:lang w:eastAsia="en-US"/>
              </w:rPr>
              <w:t>неизбыточности</w:t>
            </w:r>
            <w:proofErr w:type="spellEnd"/>
            <w:r w:rsidRPr="009A4163">
              <w:rPr>
                <w:rFonts w:eastAsiaTheme="minorHAnsi"/>
                <w:lang w:eastAsia="en-US"/>
              </w:rPr>
              <w:t xml:space="preserve"> исключаемых/снижаемых издержек</w:t>
            </w:r>
          </w:p>
        </w:tc>
      </w:tr>
      <w:tr w:rsidR="00A870C5" w:rsidRPr="009A4163" w:rsidTr="00F9487E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ind w:firstLine="3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AE4182" w:rsidRPr="009A4163" w:rsidRDefault="00AE4182" w:rsidP="00AE4182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 xml:space="preserve">Иная информация по Проекту правового акта: </w:t>
      </w:r>
      <w:r>
        <w:rPr>
          <w:rFonts w:eastAsiaTheme="minorHAnsi"/>
          <w:sz w:val="26"/>
          <w:szCs w:val="26"/>
          <w:lang w:eastAsia="en-US"/>
        </w:rPr>
        <w:t xml:space="preserve"> -</w:t>
      </w:r>
      <w:r w:rsidRPr="009A4163">
        <w:rPr>
          <w:rFonts w:eastAsiaTheme="minorHAnsi"/>
          <w:sz w:val="26"/>
          <w:szCs w:val="26"/>
          <w:lang w:eastAsia="en-US"/>
        </w:rPr>
        <w:t>_________________________</w:t>
      </w:r>
    </w:p>
    <w:p w:rsidR="00AE4182" w:rsidRPr="009A4163" w:rsidRDefault="00AE4182" w:rsidP="00AE4182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Срок проведения публичных консультаций:</w:t>
      </w:r>
      <w:r w:rsidRPr="00AE4182">
        <w:rPr>
          <w:sz w:val="26"/>
          <w:szCs w:val="26"/>
        </w:rPr>
        <w:t xml:space="preserve"> </w:t>
      </w:r>
      <w:r w:rsidRPr="001F0CC7">
        <w:rPr>
          <w:sz w:val="26"/>
          <w:szCs w:val="26"/>
        </w:rPr>
        <w:t xml:space="preserve">с </w:t>
      </w:r>
      <w:r w:rsidR="00A55BC0">
        <w:rPr>
          <w:sz w:val="26"/>
          <w:szCs w:val="26"/>
        </w:rPr>
        <w:t>08.12</w:t>
      </w:r>
      <w:r w:rsidRPr="001F0CC7">
        <w:rPr>
          <w:sz w:val="26"/>
          <w:szCs w:val="26"/>
        </w:rPr>
        <w:t xml:space="preserve">.2018 по </w:t>
      </w:r>
      <w:r w:rsidR="00A55BC0">
        <w:rPr>
          <w:sz w:val="26"/>
          <w:szCs w:val="26"/>
        </w:rPr>
        <w:t>21.12</w:t>
      </w:r>
      <w:r w:rsidRPr="001F0CC7">
        <w:rPr>
          <w:sz w:val="26"/>
          <w:szCs w:val="26"/>
        </w:rPr>
        <w:t>.2018</w:t>
      </w:r>
      <w:r>
        <w:rPr>
          <w:sz w:val="26"/>
          <w:szCs w:val="26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(включительно).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F0CC7">
        <w:rPr>
          <w:rFonts w:ascii="Times New Roman" w:hAnsi="Times New Roman" w:cs="Times New Roman"/>
          <w:sz w:val="26"/>
          <w:szCs w:val="26"/>
        </w:rPr>
        <w:t xml:space="preserve">Способ направления ответов: в </w:t>
      </w:r>
      <w:proofErr w:type="gramStart"/>
      <w:r w:rsidRPr="001F0CC7">
        <w:rPr>
          <w:rFonts w:ascii="Times New Roman" w:hAnsi="Times New Roman" w:cs="Times New Roman"/>
          <w:sz w:val="26"/>
          <w:szCs w:val="26"/>
        </w:rPr>
        <w:t>электронном</w:t>
      </w:r>
      <w:proofErr w:type="gramEnd"/>
      <w:r w:rsidRPr="001F0CC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Prihodko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cherepovetscity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1F0CC7">
        <w:rPr>
          <w:rFonts w:ascii="Times New Roman" w:hAnsi="Times New Roman" w:cs="Times New Roman"/>
          <w:sz w:val="26"/>
          <w:szCs w:val="26"/>
        </w:rPr>
        <w:t xml:space="preserve"> в письменном: г. Череповец, пр. Строителей, 4а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- Проект правового акта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Контактное лицо: Приходько Елена Александровна – начальник отдела аренды комитета по управлению имуществом города, 55 37 54</w:t>
      </w:r>
      <w:r w:rsidR="00AE4182">
        <w:rPr>
          <w:rFonts w:ascii="Times New Roman" w:hAnsi="Times New Roman" w:cs="Times New Roman"/>
          <w:sz w:val="26"/>
          <w:szCs w:val="26"/>
        </w:rPr>
        <w:t>.</w:t>
      </w:r>
    </w:p>
    <w:p w:rsidR="00A870C5" w:rsidRDefault="00A870C5" w:rsidP="009A416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870C5" w:rsidRDefault="00A870C5" w:rsidP="009A416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sectPr w:rsidR="00A870C5" w:rsidSect="00F207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70B"/>
    <w:multiLevelType w:val="hybridMultilevel"/>
    <w:tmpl w:val="0E06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A5"/>
    <w:rsid w:val="00015D70"/>
    <w:rsid w:val="000D0593"/>
    <w:rsid w:val="000F1F18"/>
    <w:rsid w:val="001F0CC7"/>
    <w:rsid w:val="002724B5"/>
    <w:rsid w:val="004268A3"/>
    <w:rsid w:val="0048497D"/>
    <w:rsid w:val="00534281"/>
    <w:rsid w:val="00544FEB"/>
    <w:rsid w:val="00671F8E"/>
    <w:rsid w:val="0067323E"/>
    <w:rsid w:val="00697F39"/>
    <w:rsid w:val="006E2733"/>
    <w:rsid w:val="00771655"/>
    <w:rsid w:val="007952A5"/>
    <w:rsid w:val="007F1C85"/>
    <w:rsid w:val="007F335F"/>
    <w:rsid w:val="008D415A"/>
    <w:rsid w:val="008E3400"/>
    <w:rsid w:val="009912AF"/>
    <w:rsid w:val="009A4163"/>
    <w:rsid w:val="00A55BC0"/>
    <w:rsid w:val="00A870C5"/>
    <w:rsid w:val="00AB7950"/>
    <w:rsid w:val="00AD2776"/>
    <w:rsid w:val="00AE4182"/>
    <w:rsid w:val="00B00F72"/>
    <w:rsid w:val="00BC70D4"/>
    <w:rsid w:val="00D97709"/>
    <w:rsid w:val="00E35A48"/>
    <w:rsid w:val="00E4724A"/>
    <w:rsid w:val="00EF4335"/>
    <w:rsid w:val="00F0017D"/>
    <w:rsid w:val="00F2075C"/>
    <w:rsid w:val="00F23F6B"/>
    <w:rsid w:val="00F85D79"/>
    <w:rsid w:val="00F9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A416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4163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4163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69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Prihodko@cherepovetscity.ru/" TargetMode="External"/><Relationship Id="rId5" Type="http://schemas.openxmlformats.org/officeDocument/2006/relationships/hyperlink" Target="http://base.garant.ru/121685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Александровна</dc:creator>
  <cp:lastModifiedBy>Приходько Елена Александровна</cp:lastModifiedBy>
  <cp:revision>25</cp:revision>
  <cp:lastPrinted>2018-04-20T06:57:00Z</cp:lastPrinted>
  <dcterms:created xsi:type="dcterms:W3CDTF">2016-07-05T08:27:00Z</dcterms:created>
  <dcterms:modified xsi:type="dcterms:W3CDTF">2018-12-07T12:52:00Z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-843076473</vt:i4>
  </property>
  <property fmtid="{D5CDD505-2E9C-101B-9397-08002B2CF9AE}" pid="3" name="_NewReviewCycle">
    <vt:lpwstr/>
  </property>
  <property fmtid="{D5CDD505-2E9C-101B-9397-08002B2CF9AE}" pid="4" name="_EmailSubject">
    <vt:lpwstr>Срочно!!!</vt:lpwstr>
  </property>
  <property fmtid="{D5CDD505-2E9C-101B-9397-08002B2CF9AE}" pid="5" name="_AuthorEmail">
    <vt:lpwstr>E_Prihodko@cherepovetscity.ru</vt:lpwstr>
  </property>
  <property fmtid="{D5CDD505-2E9C-101B-9397-08002B2CF9AE}" pid="6" name="_AuthorEmailDisplayName">
    <vt:lpwstr>Приходько Елена Александровна</vt:lpwstr>
  </property>
</Properties>
</file>