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7C" w:rsidRPr="007869F7" w:rsidRDefault="0088007C" w:rsidP="005B053F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88007C" w:rsidRPr="007869F7" w:rsidRDefault="0088007C" w:rsidP="005B053F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</w:t>
      </w:r>
      <w:r w:rsidR="005B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28.02.2019 № 745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007C" w:rsidRDefault="0088007C" w:rsidP="0088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AE3" w:rsidRPr="007869F7" w:rsidRDefault="00400AE3" w:rsidP="0088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400AE3" w:rsidRDefault="0088007C" w:rsidP="0088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400AE3" w:rsidRDefault="0088007C" w:rsidP="0088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системе оплаты труда работников муниципального казенного учреждения </w:t>
      </w:r>
    </w:p>
    <w:p w:rsidR="0088007C" w:rsidRPr="007869F7" w:rsidRDefault="0088007C" w:rsidP="0088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«Центр по обслуживанию учреждений сферы «Культура» </w:t>
      </w:r>
    </w:p>
    <w:p w:rsidR="00400AE3" w:rsidRDefault="00400AE3" w:rsidP="00880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8007C" w:rsidRPr="007869F7" w:rsidRDefault="0088007C" w:rsidP="005B0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8007C" w:rsidRPr="007869F7" w:rsidRDefault="00400AE3" w:rsidP="00400A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8007C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системе оплаты труда работников муниципального казенного учреждения «Центр по обслуживанию учреждений сферы «Культура» (далее - Положение) разработано в соответствии с Трудовым кодексом Российской Федерации и устанавливает размеры и условия оплаты труда работников муниципального казенного учреждения «Центр по обслуживанию учреждений сферы «Культура» (далее - Учреждение), в том числе порядок и условия установления и применения окладов (должностных окладов), коэффициентов квалификационного уровня, выплат стимулирующего и компенсационного характера, порядок формирования фонда оплаты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8007C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регулирует правоотношения в сфере оплаты труда работников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финансируемые из городского бюджета.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работников Учреждения устанавливается в пределах фонда оплаты труда.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4"/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Система оплаты труда работников Учреждени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с учетом:</w:t>
      </w:r>
    </w:p>
    <w:bookmarkEnd w:id="1"/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тарифно-квалификационного справочника работ и профессий рабочих;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гарантий по оплате труда;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Российской трехсторонней комиссии по регулированию социально-трудовых отношений.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Система оплаты труда работников включает: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(должностные оклады);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компенсационного характера;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выплаты в соответствии с нормативными правовыми актами Российской Федерации, Вологодской области и муниципальными правовыми актами.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Основные понятия используются в Положении в значениях, определенных Трудовым кодексом Российской Федерации.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7869F7" w:rsidRDefault="0088007C" w:rsidP="0088007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оплаты труда работников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за исключением</w:t>
      </w:r>
    </w:p>
    <w:p w:rsidR="0088007C" w:rsidRPr="007869F7" w:rsidRDefault="0088007C" w:rsidP="005B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руководителя, его заместителя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Система оплаты труда работников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за исключением руководителя, его заместителя, включает: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 (должностной оклад);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компенсационного характера;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характера;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выплаты в соответствии с нормативными правовыми актами Российской Федерации, Вологодской области, муниципальными правовыми актами.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Минимальный размер окладов (должностных окладов) по соответствующим профессиональным квалификационным группам устанавливается согласно приложению 1 к настоящему Положению.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Оклад (должностной оклад) работников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формируется на основе применения к минимальному размеру оклада (должностного оклада) по соответствующей профессиональной квалификационной группе отраслевого коэффициента и коэффициента квалификационного уровня согласно приложениям 2, 3 к Положению.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Отраслевой коэффициент устанавливается в размере 1,05.</w:t>
      </w:r>
    </w:p>
    <w:p w:rsidR="0088007C" w:rsidRPr="007869F7" w:rsidRDefault="00400AE3" w:rsidP="00400AE3">
      <w:pPr>
        <w:pStyle w:val="aff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8007C" w:rsidRPr="007869F7">
        <w:rPr>
          <w:sz w:val="26"/>
          <w:szCs w:val="26"/>
        </w:rPr>
        <w:t xml:space="preserve">Виды и размеры компенсационных и стимулирующих выплат для работников </w:t>
      </w:r>
      <w:r>
        <w:rPr>
          <w:sz w:val="26"/>
          <w:szCs w:val="26"/>
        </w:rPr>
        <w:t>У</w:t>
      </w:r>
      <w:r w:rsidR="0088007C" w:rsidRPr="007869F7">
        <w:rPr>
          <w:sz w:val="26"/>
          <w:szCs w:val="26"/>
        </w:rPr>
        <w:t>чреждения устанавливаются согласно приложению 4 к Положению.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7869F7" w:rsidRDefault="0088007C" w:rsidP="005B05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Система оплаты труда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его заместителя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Система оплаты труда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его заместителя включает: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 (должностной оклад),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компенсационного характера,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характера,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выплаты в соответствии с нормативными правовыми актами Российской Федерации, Вологодской области, муниципальными правовыми актами.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Размер должностного оклада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устанавливается в порядке, утвержденном постановлением мэрии города, и указывается в трудовом договоре.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Должностной оклад заместителя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устанавливаются руководителем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на 10-30% ниже должностного оклада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Виды и размеры выплат компенсационного и стимулирующего характера руководителю, заместителю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устанавливаются согласно приложению 5 к Положению.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Руководителю Учреждения</w:t>
      </w:r>
      <w:r w:rsidR="00323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заместителю</w:t>
      </w:r>
      <w:r w:rsidR="00792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условий труда выплаты компенсационного характера устанавливаются в порядке, предусмотренном пунктами 4.2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4.5 настоящего Положения.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Выплаты стимулирующего характера руководителю, предусмотренные </w:t>
      </w:r>
      <w:hyperlink w:anchor="Par306" w:history="1">
        <w:r w:rsidRPr="0078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2.</w:t>
        </w:r>
      </w:hyperlink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CA1C03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5 к Положению, производятся в пределах фонда оплаты труда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Оплата труда руководителя, заместителя руководителя, устанавливается в размере, не превышающем предельного уровня соотношения среднемесячной заработной платы руководителя, заместителя руководителя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заместителя руководителя)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установленного постановлением мэрии города.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Руководителю Учреждения размер выплат стимулирующего характера устанавливается распоряжением мэрии города</w:t>
      </w:r>
      <w:r w:rsidR="00EF0D3D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712A" w:rsidRPr="007869F7" w:rsidRDefault="00FA712A" w:rsidP="00FA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показатели качества выполняемых работ, </w:t>
      </w:r>
      <w:r w:rsidR="00170712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интенсивность и высокие результаты работы,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премирования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и сроки, на которые они устанавливаются, методика расчета размера стимулирующих выплат за качество выполняемых работ, интенсивность и высокие результаты работы в денежном выражении руководителю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определя</w:t>
      </w:r>
      <w:r w:rsidR="0098686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8686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по делам культуры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утвержда</w:t>
      </w:r>
      <w:r w:rsidR="00986865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начальника управления по делам культуры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12A" w:rsidRPr="007869F7" w:rsidRDefault="005F07E0" w:rsidP="00FA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премии, ее размер зависит от выполнения показателей премирования.</w:t>
      </w:r>
    </w:p>
    <w:p w:rsidR="00631B7D" w:rsidRPr="007869F7" w:rsidRDefault="00631B7D" w:rsidP="00FA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Премиальные выплаты по итогам работы устанавливаются в целях достижения заинтересованности руководителя в результатах труда и повышения ответственности за исполнение функций, определенных уставом Учреждения. Премирование производится по итогам работы за установленный период - месяц, квартал, год.</w:t>
      </w:r>
    </w:p>
    <w:p w:rsidR="006D6B2C" w:rsidRPr="007869F7" w:rsidRDefault="005F07E0" w:rsidP="00FA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начисления и выплаты </w:t>
      </w:r>
      <w:r w:rsidR="00BB27B8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качество выполняемых работ, интенсивность и высокие результаты работы, премии 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распоряжение мэрии города, подготовленное по результатам отчет</w:t>
      </w:r>
      <w:r w:rsidR="00EB1492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EB1492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EB1492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492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представля</w:t>
      </w:r>
      <w:r w:rsidR="00EB1492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управление по делам культуры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Управление по делам культуры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мэрию города проект распоряжения мэрии города в течение 5 дней после предоставления данных </w:t>
      </w:r>
      <w:r w:rsidR="00EB1492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</w:t>
      </w:r>
      <w:r w:rsidR="00FA712A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4137" w:rsidRPr="007869F7" w:rsidRDefault="0088007C" w:rsidP="008800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F07E0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4137" w:rsidRPr="007869F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Руководителю Учреждения выплата за стаж работы устанавлива</w:t>
      </w:r>
      <w:r w:rsidR="00400AE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</w:t>
      </w:r>
      <w:r w:rsidR="004D4137" w:rsidRPr="007869F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тся в соответствии с размерами, включаемыми периодами и предоставляемыми документами, предусмотренными п. 5.3.2 настоящего Положения, утверждается распоряжением мэрии города на основании решения комиссии по установлению стажа и отдельных компенсационных выплат руководителям муниципальных учреждений, созданной в мэрии города</w:t>
      </w:r>
      <w:r w:rsidR="00F83DE4" w:rsidRPr="007869F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88007C" w:rsidRPr="007869F7" w:rsidRDefault="0088007C" w:rsidP="00CA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5B37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77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Источниками средств, направляемых на выплаты стимулирующего характера руководителю Учреждения, являются средства городского бюджета.</w:t>
      </w:r>
    </w:p>
    <w:p w:rsidR="0088007C" w:rsidRPr="007869F7" w:rsidRDefault="0088007C" w:rsidP="0088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7869F7" w:rsidRDefault="0088007C" w:rsidP="005B053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4. Выплаты компенсационного характера,</w:t>
      </w:r>
      <w:r w:rsidR="005B053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r w:rsidRPr="007869F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порядок и условия их применения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выплаты компенсационного характера и их размер устанавливаются приказом руководителя </w:t>
      </w:r>
      <w:r w:rsidR="00400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в соответствии с</w:t>
      </w:r>
      <w:r w:rsidRPr="0078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пунктами 1.1 – 1.4 приложения 4 к Положению.</w:t>
      </w:r>
    </w:p>
    <w:p w:rsid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Выплата за работу в условиях, отклоняющихся от нормальных: за совмещение должностей,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работу, за работу в выходные и нерабочие праздничные дни, устанавливается в соответствии с Трудовым кодексом Российской Федерации.</w:t>
      </w:r>
    </w:p>
    <w:p w:rsidR="00FE3890" w:rsidRPr="007869F7" w:rsidRDefault="00FE3890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38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Выплата за выполнение работ с вредными и (или) опасными условиями труда устанавливается в процентах к окладу (должностному окладу) по результатам проведения специальной оценки условий труда. 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Выплата за выполнение работ с вредными и (или) опасными условиями труда в отношении руководителя, заместителя руководителя Учреждения производится за часы фактического нахождения в данных условиях труда.</w:t>
      </w:r>
    </w:p>
    <w:p w:rsidR="008B7733" w:rsidRPr="007869F7" w:rsidRDefault="008B7733" w:rsidP="008B77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выплат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 работ с вредными и (или) опасными условиями труда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коллективным договором, локальными нормативными актам Учреждения, трудовым договором.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4.4.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к заработной плате.</w:t>
      </w:r>
    </w:p>
    <w:p w:rsidR="0088007C" w:rsidRPr="007869F7" w:rsidRDefault="00B17924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руководителю</w:t>
      </w:r>
      <w:r w:rsidR="002F75E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заместителю руководителю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работникам Учреждения начисляется на оклад (должностной оклад), компенсационные и стимулирующие выплаты, иные выплаты в соответствии с нормативными правовыми актами Российской Федерации, Вологодской области и муниципальными нормативными правовыми актами (далее – заработная плата). Размер районного коэффициента составляет 25%.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4.5. Выплата за работу в ночное время производится в размере 35 процентов к окладу (должностному окладу), рассчитанному за час работы.</w:t>
      </w:r>
    </w:p>
    <w:p w:rsidR="000500DC" w:rsidRPr="007869F7" w:rsidRDefault="000500DC" w:rsidP="0088007C">
      <w:pPr>
        <w:tabs>
          <w:tab w:val="left" w:pos="1985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hanging="6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</w:pPr>
    </w:p>
    <w:p w:rsidR="0088007C" w:rsidRPr="007869F7" w:rsidRDefault="0088007C" w:rsidP="005B053F">
      <w:pPr>
        <w:tabs>
          <w:tab w:val="left" w:pos="1985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hanging="6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5. Выплаты стимулирующего характера,</w:t>
      </w:r>
      <w:r w:rsidR="005B053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r w:rsidRPr="007869F7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порядок и условия их применения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5.1. В целях поощрения работников за выполненную работу устанавливаются следующие выплаты стимулирующего характера: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выплаты за стаж работы;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выплаты за интенсивность и высокие результаты работы;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выплаты за качество выполняемых работ;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премиальные выплаты по итогам работы.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5.2. Заместителю руководителя, работникам выплаты за качество выполняемых работ, интенсивность и высокие результаты работы, премиальные выплаты определяются руководителем </w:t>
      </w:r>
      <w:r w:rsidR="00400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 самостоятельно в пределах фонда опла</w:t>
      </w:r>
      <w:r w:rsidR="00400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 труда 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 и устанавливаются приказом руководителя.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 Выплата за стаж работы устанавливается с момента возникновения права на назначение выплаты или изменение ее размера. Если у работника право на назначение или изменение размера выплаты за стаж работы наступило в период его пребывания в очередном отпуске, а также в период его временной нетрудоспособности, выплата назначается после окончания отпуска, периода временной нетрудоспособности.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случае, если у работника право на назначение или изменение выплаты наступило в период исполнения государственных обязанностей, при подготовке или повышении квалификации с отрывом от работы в учебном заведении, где за слушателем сохраняется средний заработок, ему устанавливается выплата с момента наступления этого права и производится перерасчет среднего заработка.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увольнении работника выплата за стаж работы начисляется пропорционально отработанному времени, и ее выплата производится при окончательном расчете.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Стаж работы определяется согласно приложению 6 к настоящему Положению.</w:t>
      </w:r>
    </w:p>
    <w:p w:rsidR="0088007C" w:rsidRPr="007869F7" w:rsidRDefault="00400AE3" w:rsidP="0088007C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5.3.1. </w:t>
      </w:r>
      <w:r w:rsidR="0088007C"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Выплата за стаж работы устанавливается по основному месту работы и основной занимаемой должности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371"/>
      </w:tblGrid>
      <w:tr w:rsidR="0088007C" w:rsidRPr="007869F7" w:rsidTr="005B053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5B053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Стаж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процентах к окладу (должностному окладу) в месяц</w:t>
            </w:r>
          </w:p>
        </w:tc>
      </w:tr>
      <w:tr w:rsidR="0088007C" w:rsidRPr="007869F7" w:rsidTr="005B053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5B053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1 до 5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88007C" w:rsidRPr="007869F7" w:rsidTr="005B053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5B053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88007C" w:rsidRPr="007869F7" w:rsidTr="005B053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5B053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10 до 15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88007C" w:rsidRPr="007869F7" w:rsidTr="005B053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5B053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 и более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</w:tr>
    </w:tbl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Выплаты за стаж работы работникам </w:t>
      </w:r>
      <w:r w:rsidR="00400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 и их размер определяются комиссией по определению трудового стажа.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комиссии по определению трудового стажа издается приказ руководителя </w:t>
      </w:r>
      <w:r w:rsidR="00400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чреждения о назначении выплаты за стаж работы работникам </w:t>
      </w:r>
      <w:r w:rsidR="00400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чреждения, заместителю руководителя </w:t>
      </w:r>
      <w:r w:rsidR="00400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чреждения.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5.3.2. В стаж работы, дающий работникам право на получение надбавки, включаются: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время работы по трудовому договору в Учреждении;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периоды замещения должностей государственной, гражданской (государственной) и муниципальной службы, время работы в государственных, муниципальных учреждениях на должностях, замещение которых требует наличия соответствующего образования или квалификации, аналогичной занимаемой должности;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 обучения в учебных заведениях (курсах) по подготовке и повышения квалификации кадров с отрывом от производства, если за работником сохраняется место работы (должность), заработная плата в Учреждении;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 предоставления в Учреждении отпуска по уходу за ребенком до достижения им возраста трех лет;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 военной службы, если в течение года после увольнения с этой службы работник поступил н</w:t>
      </w:r>
      <w:r w:rsidR="00400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работу в Учреждение; 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иные периоды работы (службы), опыт и знания по которой необходимы для выполнения должностных обязанностей по конкретной замещающей должности в Учреждении. Указанные периоды в совокупности не должны превышать пять лет.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Работникам Учреждения устанавливается выплата за интенсивность и высокие результаты работы. 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выплаты за интенсивность и высокие результаты работы работникам Учреждения устанавливаются Положением о стимулирующих выплатах Учреждения.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размера выплаты и срока, на который выплата назначается, принимается руководителем Учреждения в соответствии с коллективным договором, Положением о стимулирующих выплатах Учреждения.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Критерии выплаты за качество работникам Учреждения устанавливаются Положением о стимулирующих выплатах Учреждения.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размера выплаты и срока, на который выплата назначается, принимается руководителем Учреждения в соответствии с коллективным договором, Положением о стимулирующих выплатах Учреждения.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Премиальные выплаты по итогам работы устанавливается с целью поощрения работников по результатам работы за установленный период (месяц, квартал, год). 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размеры премий работников определяются в соответствии с личным вкладом каждого работника в выполнение задач, стоящих перед 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чреждением.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премиальных выплат работникам Учреждения устанавливаются Положением о стимулирующих выплатах Учреждения.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Начисление и выплата премиальных выплат производятся на основании индивидуальной оценки труда каждого работника.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премиальных выплат принимается руководителем Учреждения в соответствии с коллективным договором, Положением о стимулирующих выплатах Учреждения.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Премия не начисляется за периоды, не относящиеся к фактически отработанному времени.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5.8. Руководителю </w:t>
      </w:r>
      <w:r w:rsidR="0079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чреждения,</w:t>
      </w:r>
      <w:r w:rsidR="002F75E3" w:rsidRPr="002F75E3">
        <w:t xml:space="preserve"> </w:t>
      </w:r>
      <w:r w:rsidR="002F75E3" w:rsidRPr="002F75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заместителю руководителю</w:t>
      </w:r>
      <w:r w:rsidR="002F75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работникам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проработавшему неполный период, за который производится выплата премии, и прекратившим трудовой договор по собственной инициативе, в связи с переводом на другую работу, призывом на службу в Вооруженные силы Российской Федерации, поступлением в учебные заведения, уходом на пенсию, состоянием здоровья, сокращением численности или штата, истечением срока трудового договора, ликвидацией учреждения, выплата премии производится из расчета времени, фактически отработанного в данном периоде.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5.9. Основанием для начисления и выплаты работникам </w:t>
      </w:r>
      <w:r w:rsidR="0079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чреждения премии является приказ руководителя </w:t>
      </w:r>
      <w:r w:rsidR="0079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чреждения, подготовленный по результатам отчетов о выполнении показателей премирования.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стимулирующего характера работникам, предусмотренные </w:t>
      </w:r>
      <w:hyperlink w:anchor="Par306" w:history="1">
        <w:r w:rsidRPr="0078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2.</w:t>
        </w:r>
      </w:hyperlink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– 2.4 приложения 4 к Положению, производятся в пределах фонда оплаты труда 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5B053F" w:rsidRDefault="005B053F" w:rsidP="0088007C">
      <w:pPr>
        <w:widowControl w:val="0"/>
        <w:numPr>
          <w:ilvl w:val="0"/>
          <w:numId w:val="2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x-none" w:eastAsia="x-none"/>
        </w:rPr>
      </w:pPr>
    </w:p>
    <w:p w:rsidR="0088007C" w:rsidRPr="005B053F" w:rsidRDefault="0088007C" w:rsidP="0019564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08"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B053F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x-none" w:eastAsia="x-none"/>
        </w:rPr>
        <w:t>6. Формирование фонда оплаты труда</w:t>
      </w:r>
      <w:bookmarkStart w:id="2" w:name="sub_41"/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6.1. Фонд оплаты труда </w:t>
      </w:r>
      <w:r w:rsidR="007927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чреждения состоит из базовой части, обеспечивающей гарантированную заработную плату и включающей оклад (должностной оклад) с учетом выплат компенсационного характера, и стимулирующей части, включающей выплаты стимулирующего характера исходя из размера выплат в месяц.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3" w:name="sub_42"/>
      <w:bookmarkEnd w:id="2"/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6.2. Фонд оплаты труда в </w:t>
      </w:r>
      <w:r w:rsidR="007927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чреждении формируется на очередной финансовый год (очередной финансовый год и плановый период) исходя из численности работников </w:t>
      </w:r>
      <w:r w:rsidR="007927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чреждения, предусмотренной штатным расписанием. </w:t>
      </w:r>
    </w:p>
    <w:bookmarkEnd w:id="3"/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формировании фонда оплаты труда дополнительно включаются объемы средств, поступающи</w:t>
      </w:r>
      <w:r w:rsidR="007927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</w:t>
      </w:r>
      <w:r w:rsidR="007927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чреждение в соответствии с постановлением мэрии города от 17.01.2012 № 127 «Об утверждении порядка предоставления средств из городского бюджета при выполнении условий», регламентирующим порядок расходования средств из городского бюджета, финансовое обеспечение которых осуществляется при выполнении условий, и направляемы</w:t>
      </w:r>
      <w:r w:rsidR="007927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выплату заработной платы работникам </w:t>
      </w:r>
      <w:r w:rsidR="007927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чреждения, исходя из затрат, учтенных в тарифе на платные услуги (работы)</w:t>
      </w:r>
      <w:bookmarkStart w:id="4" w:name="sub_44"/>
      <w:r w:rsidRPr="007869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bookmarkEnd w:id="4"/>
    <w:p w:rsidR="0088007C" w:rsidRPr="007869F7" w:rsidRDefault="0088007C" w:rsidP="0088007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007C" w:rsidRPr="005B053F" w:rsidRDefault="0088007C" w:rsidP="00DE688F">
      <w:pPr>
        <w:widowControl w:val="0"/>
        <w:numPr>
          <w:ilvl w:val="0"/>
          <w:numId w:val="22"/>
        </w:numPr>
        <w:suppressAutoHyphens/>
        <w:autoSpaceDE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0"/>
      <w:r w:rsidRPr="005B053F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7. Применение Положения </w:t>
      </w:r>
      <w:r w:rsidR="0079277C" w:rsidRPr="005B053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У</w:t>
      </w:r>
      <w:r w:rsidRPr="005B053F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чреждением</w:t>
      </w:r>
    </w:p>
    <w:p w:rsidR="0088007C" w:rsidRPr="007869F7" w:rsidRDefault="0088007C" w:rsidP="0088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51"/>
      <w:bookmarkEnd w:id="5"/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Система оплаты труда, предусмотренная Положением, применяется для регулирования оплаты труда работников 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52"/>
      <w:bookmarkEnd w:id="6"/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bookmarkEnd w:id="7"/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чреждения, отработавшим за месячный период норму рабочего времени и выполнившим нормы труда (трудовые обязанности), размер расчетной заработной платы которых ниже минимального размера оплаты труда с учетом районного коэффициента, осуществляется ежемесячная выплата в размере разницы между минимальным размером оплаты труда с учетом районного коэффициента и расчетным размером оплаты труда с учетом районного коэффициента.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Иные выплаты, не предусмотренные настоящим Положением, работникам и руководителю Учреждения не производятся.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5B053F" w:rsidRDefault="0088007C" w:rsidP="008E75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0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Заключительные положения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8.1. Зарабо</w:t>
      </w:r>
      <w:r w:rsidR="0079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тная плата работников Учреждения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(без учета премий и иных стимулирующих выплат), устанавливаемая в соответствии с Положением, не может быть меньше заработной платы (без учета премий и иных стимулирующих выплат), выплачиваемой до введения в действие Положения, при условии сохранения объема должностных обязанностей работников и выполнения ими работ той же квалификации.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8.2. Вопросы оплаты труда работников </w:t>
      </w:r>
      <w:r w:rsidR="0079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</w:t>
      </w:r>
      <w:r w:rsidR="007927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урегулированные Положением, регулируются с требованиями </w:t>
      </w:r>
      <w:hyperlink r:id="rId7" w:anchor="/document/12125268/entry/0" w:history="1">
        <w:r w:rsidRPr="007869F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трудового законодательства</w:t>
        </w:r>
      </w:hyperlink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и иных нормативных правовых актов, содержащих нормы трудового права.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8.3.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финансовых средств за счет экономии фонда оплаты тру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работникам и руководителю 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</w:t>
      </w:r>
      <w:r w:rsidR="002D212E"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производятся 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выплаты: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 в случае смерти близких родственников (дети, супруг, родители) в размере одного должностного оклада.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материальная помощь в связи с юбилейными датами (юбилейными датами следует считать 50-летие со дня рождения и другие последующие за ним пятилетия) в размере одного должностного оклада. 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оказании материальной помощи работнику принимает руководитель 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на основании письменного заявления работника.</w:t>
      </w:r>
    </w:p>
    <w:p w:rsidR="0088007C" w:rsidRPr="007869F7" w:rsidRDefault="0088007C" w:rsidP="00880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оказании материальной помощи руководителю 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принимает представитель нанимателя (работодатель) на основании письменного заявления руководителя.</w:t>
      </w:r>
    </w:p>
    <w:p w:rsidR="0079277C" w:rsidRDefault="0079277C" w:rsidP="00880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6"/>
          <w:szCs w:val="26"/>
          <w:lang w:eastAsia="ru-RU"/>
        </w:rPr>
        <w:sectPr w:rsidR="0079277C" w:rsidSect="00400AE3">
          <w:headerReference w:type="default" r:id="rId8"/>
          <w:pgSz w:w="11906" w:h="16838" w:code="9"/>
          <w:pgMar w:top="1134" w:right="567" w:bottom="1134" w:left="1985" w:header="510" w:footer="510" w:gutter="0"/>
          <w:cols w:space="708"/>
          <w:titlePg/>
          <w:docGrid w:linePitch="360"/>
        </w:sectPr>
      </w:pPr>
    </w:p>
    <w:p w:rsidR="0088007C" w:rsidRPr="007869F7" w:rsidRDefault="006B11BE" w:rsidP="008800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1"/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8007C"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1</w:t>
      </w:r>
      <w:r w:rsidR="005B0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007C"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="0088007C" w:rsidRPr="0078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</w:p>
    <w:bookmarkEnd w:id="8"/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5B053F" w:rsidRDefault="0088007C" w:rsidP="005B05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5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Размер минимальных окладов (должностных окладов) по профессиональным квалификационным группам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771"/>
      </w:tblGrid>
      <w:tr w:rsidR="0088007C" w:rsidRPr="007869F7" w:rsidTr="005B05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размер оклада (должностного оклада) руб.</w:t>
            </w:r>
          </w:p>
        </w:tc>
      </w:tr>
      <w:tr w:rsidR="006B11BE" w:rsidRPr="007869F7" w:rsidTr="005B05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7869F7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5B053F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и профессии первого уровня </w:t>
            </w:r>
          </w:p>
          <w:p w:rsidR="006B11BE" w:rsidRPr="007869F7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и профессии, отнесенные к профессиональным квалификационным группам: «Общеотраслевые должности служащих первого уровня», «Общеотраслевые профессии рабочих первого уровня»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1BE" w:rsidRPr="007869F7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1592,00</w:t>
            </w:r>
          </w:p>
        </w:tc>
      </w:tr>
      <w:tr w:rsidR="006B11BE" w:rsidRPr="007869F7" w:rsidTr="005B05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7869F7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5B053F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и профессии второго уровня</w:t>
            </w:r>
          </w:p>
          <w:p w:rsidR="006B11BE" w:rsidRPr="007869F7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1BE" w:rsidRPr="007869F7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1852,00</w:t>
            </w:r>
          </w:p>
        </w:tc>
      </w:tr>
      <w:tr w:rsidR="006B11BE" w:rsidRPr="007869F7" w:rsidTr="005B05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5B053F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5B053F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третьего уровня</w:t>
            </w:r>
          </w:p>
          <w:p w:rsidR="006B11BE" w:rsidRPr="005B053F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1BE" w:rsidRPr="007869F7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3276,00</w:t>
            </w:r>
          </w:p>
        </w:tc>
      </w:tr>
      <w:tr w:rsidR="006B11BE" w:rsidRPr="007869F7" w:rsidTr="005B05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5B053F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5B053F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четвертого уровня</w:t>
            </w:r>
          </w:p>
          <w:p w:rsidR="006B11BE" w:rsidRPr="005B053F" w:rsidRDefault="006B11BE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1BE" w:rsidRPr="007869F7" w:rsidRDefault="006B11BE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3661,00</w:t>
            </w:r>
          </w:p>
        </w:tc>
      </w:tr>
    </w:tbl>
    <w:p w:rsidR="0079277C" w:rsidRDefault="007927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277C" w:rsidSect="00400AE3">
          <w:pgSz w:w="11906" w:h="16838" w:code="9"/>
          <w:pgMar w:top="1134" w:right="567" w:bottom="1134" w:left="1985" w:header="510" w:footer="510" w:gutter="0"/>
          <w:cols w:space="708"/>
          <w:titlePg/>
          <w:docGrid w:linePitch="360"/>
        </w:sectPr>
      </w:pP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002"/>
      <w:r w:rsidRPr="007869F7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 2</w:t>
      </w:r>
      <w:r w:rsidR="005B05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Pr="0078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</w:p>
    <w:bookmarkEnd w:id="9"/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5B053F" w:rsidRDefault="0088007C" w:rsidP="008800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B05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Коэффициенты квалификационного уровня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88007C" w:rsidRPr="007869F7" w:rsidTr="00124C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коэффициента</w:t>
            </w:r>
          </w:p>
        </w:tc>
      </w:tr>
      <w:tr w:rsidR="0088007C" w:rsidRPr="007869F7" w:rsidTr="00124C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88007C" w:rsidRPr="007869F7" w:rsidTr="00124C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2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8007C" w:rsidRPr="007869F7" w:rsidTr="00124C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4774AC" w:rsidP="004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477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рофессии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7869F7" w:rsidP="0088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1,09-</w:t>
            </w:r>
            <w:r w:rsidR="0088007C" w:rsidRPr="007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4774AC" w:rsidRPr="007869F7" w:rsidTr="00124C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C" w:rsidRPr="007869F7" w:rsidRDefault="004774A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AC" w:rsidRDefault="004774AC" w:rsidP="0088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1,21-1,75</w:t>
            </w:r>
          </w:p>
        </w:tc>
      </w:tr>
      <w:tr w:rsidR="0088007C" w:rsidRPr="007869F7" w:rsidTr="00124C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третьего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2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8007C" w:rsidRPr="007869F7" w:rsidTr="00124C9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четвертого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2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79277C" w:rsidRDefault="007927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277C" w:rsidSect="00400AE3">
          <w:pgSz w:w="11906" w:h="16838" w:code="9"/>
          <w:pgMar w:top="1134" w:right="567" w:bottom="1134" w:left="1985" w:header="510" w:footer="510" w:gutter="0"/>
          <w:cols w:space="708"/>
          <w:titlePg/>
          <w:docGrid w:linePitch="360"/>
        </w:sectPr>
      </w:pP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003"/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3</w:t>
      </w:r>
      <w:r w:rsidR="005B0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Pr="0078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</w:p>
    <w:bookmarkEnd w:id="10"/>
    <w:p w:rsidR="0088007C" w:rsidRPr="005B053F" w:rsidRDefault="0088007C" w:rsidP="005B05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5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Профессиональные квалификационные группы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3"/>
        <w:gridCol w:w="4082"/>
        <w:gridCol w:w="2464"/>
      </w:tblGrid>
      <w:tr w:rsidR="0088007C" w:rsidRPr="005B053F" w:rsidTr="0079277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группа,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Профессия, должность, отнесенные к квалификационным уровням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коэффициента квалификационного уровня</w:t>
            </w:r>
          </w:p>
        </w:tc>
      </w:tr>
      <w:tr w:rsidR="0088007C" w:rsidRPr="005B053F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Профессии первого уровня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</w:t>
            </w:r>
          </w:p>
        </w:tc>
      </w:tr>
      <w:tr w:rsidR="0088007C" w:rsidRPr="005B053F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сторож (вахтер); уборщик служебных помещений; уборщик территорий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</w:t>
            </w:r>
          </w:p>
        </w:tc>
      </w:tr>
      <w:tr w:rsidR="0088007C" w:rsidRPr="005B053F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Должности первого уровня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88007C" w:rsidRPr="005B053F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Архивариус; делопроизводитель; калькулятор; кассир; секретарь; секретарь-машинистка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88007C" w:rsidRPr="005B053F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Профессии второго уровня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C00F3D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1,09-</w:t>
            </w:r>
            <w:r w:rsidR="0088007C"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1,75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1,46</w:t>
            </w:r>
          </w:p>
        </w:tc>
      </w:tr>
      <w:tr w:rsidR="00C00F3D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7869F7" w:rsidRDefault="00C00F3D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7869F7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F3D" w:rsidRPr="007869F7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7869F7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F3D" w:rsidRPr="007869F7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F3D" w:rsidRPr="007869F7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F3D" w:rsidRPr="007869F7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1,75</w:t>
            </w:r>
          </w:p>
        </w:tc>
      </w:tr>
      <w:tr w:rsidR="00C00F3D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7869F7" w:rsidRDefault="00C00F3D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5B053F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Должности второго уровня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F3D" w:rsidRPr="005B053F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1,21-1,75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по кадрам; секретарь руководителя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1,21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архивом; 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1,46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хозяйственного отдела.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</w:t>
            </w:r>
          </w:p>
        </w:tc>
      </w:tr>
      <w:tr w:rsidR="00C00F3D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7869F7" w:rsidRDefault="00C00F3D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5B053F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D" w:rsidRPr="005B053F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F3D" w:rsidRPr="005B053F" w:rsidRDefault="00C00F3D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1,75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Должности третьего уровня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Документовед; инженер; инженер по охране труда; инженер по ремонту; инженер-программист (программист); инженер-электроник (электроник); инженер-энергетик (энергетик); специалист по кадрам; экономист; специалист по материально-техническому снабжению; экономист по планированию; экономист по труду; экономист по финансовой работе; юрисконсульт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специалисты в отделах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sub_1036"/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bookmarkEnd w:id="11"/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Должности четвертого уровня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</w:tr>
      <w:tr w:rsidR="0088007C" w:rsidRPr="007869F7" w:rsidTr="003926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</w:tr>
    </w:tbl>
    <w:p w:rsidR="0079277C" w:rsidRDefault="0079277C" w:rsidP="00792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9277C" w:rsidSect="00400AE3">
          <w:pgSz w:w="11906" w:h="16838" w:code="9"/>
          <w:pgMar w:top="1134" w:right="567" w:bottom="1134" w:left="1985" w:header="510" w:footer="510" w:gutter="0"/>
          <w:cols w:space="708"/>
          <w:titlePg/>
          <w:docGrid w:linePitch="360"/>
        </w:sectPr>
      </w:pPr>
      <w:bookmarkStart w:id="12" w:name="sub_1004"/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4</w:t>
      </w:r>
      <w:r w:rsidR="005B0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Pr="0078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7869F7" w:rsidRDefault="0088007C" w:rsidP="005B05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5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Виды и размеры выплат компенсационного и стимулирующего характера работникам учреждений, за исключением руководителя, его заместителя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714"/>
        <w:gridCol w:w="3157"/>
        <w:gridCol w:w="2797"/>
      </w:tblGrid>
      <w:tr w:rsidR="0088007C" w:rsidRPr="007869F7" w:rsidTr="0079277C">
        <w:trPr>
          <w:tblHeader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79277C" w:rsidP="0079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8007C"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7C" w:rsidRDefault="0088007C" w:rsidP="0079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88007C" w:rsidRPr="007869F7" w:rsidRDefault="0088007C" w:rsidP="0079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79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79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выплаты</w:t>
            </w:r>
          </w:p>
        </w:tc>
      </w:tr>
      <w:tr w:rsidR="0088007C" w:rsidRPr="007869F7" w:rsidTr="0039266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1. Выплаты компенсационного характера</w:t>
            </w:r>
          </w:p>
        </w:tc>
      </w:tr>
      <w:tr w:rsidR="0088007C" w:rsidRPr="007869F7" w:rsidTr="00392666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работу в условиях, отклоняющихся от нормальных:</w:t>
            </w:r>
          </w:p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совмещение должностей,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4462B7" w:rsidP="0044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соглашению сторон трудового договора с учетом содержания и (или) объема дополни-тельной работы</w:t>
            </w:r>
          </w:p>
        </w:tc>
      </w:tr>
      <w:tr w:rsidR="00A3309A" w:rsidRPr="007869F7" w:rsidTr="00392666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A" w:rsidRPr="007869F7" w:rsidRDefault="00A3309A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A" w:rsidRPr="007869F7" w:rsidRDefault="00A3309A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сверхурочную работу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09A" w:rsidRPr="0088007C" w:rsidRDefault="00A3309A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первые два часа работы - полуторн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 оклада (должностного оклада), за последующие часы - двой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 оклада (должностного оклада)</w:t>
            </w:r>
          </w:p>
        </w:tc>
      </w:tr>
      <w:tr w:rsidR="00A3309A" w:rsidRPr="007869F7" w:rsidTr="00392666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A" w:rsidRPr="007869F7" w:rsidRDefault="00A3309A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A" w:rsidRPr="007869F7" w:rsidRDefault="00A3309A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работу в выходные и нерабочие праздничные дни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09A" w:rsidRPr="0088007C" w:rsidRDefault="00A3309A" w:rsidP="00B4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размере одинарной части оклада (должностного оклада)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части оклада (должностного оклада) за день или час работы сверх оклада (должностного оклада), если работа производилась сверх месячной нормы рабочего времени</w:t>
            </w:r>
          </w:p>
        </w:tc>
      </w:tr>
      <w:tr w:rsidR="0088007C" w:rsidRPr="007869F7" w:rsidTr="00392666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выполнение работ с вредными и (или) опасными условиями труда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 до 12</w:t>
            </w:r>
          </w:p>
        </w:tc>
      </w:tr>
      <w:tr w:rsidR="0088007C" w:rsidRPr="007869F7" w:rsidTr="00392666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работу в ночное время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окладу), рассчитанному за час работы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за каждый час работы в ночное время</w:t>
            </w:r>
          </w:p>
        </w:tc>
      </w:tr>
      <w:tr w:rsidR="0088007C" w:rsidRPr="007869F7" w:rsidTr="00392666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к заработной плате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заработной плате в месяц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8007C" w:rsidRPr="007869F7" w:rsidTr="0039266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2. Выплаты стимулирующего характера</w:t>
            </w:r>
          </w:p>
        </w:tc>
      </w:tr>
      <w:tr w:rsidR="0088007C" w:rsidRPr="007869F7" w:rsidTr="00392666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стаж работы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10-30</w:t>
            </w:r>
          </w:p>
        </w:tc>
      </w:tr>
      <w:tr w:rsidR="0088007C" w:rsidRPr="007869F7" w:rsidTr="00392666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качество выполняемых работ</w:t>
            </w:r>
            <w:hyperlink w:anchor="sub_2222" w:history="1">
              <w:r w:rsidRPr="007869F7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5 - 150</w:t>
            </w:r>
          </w:p>
        </w:tc>
      </w:tr>
      <w:tr w:rsidR="0088007C" w:rsidRPr="007869F7" w:rsidTr="00392666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интенсивность и высокие результаты работы</w:t>
            </w:r>
            <w:hyperlink w:anchor="sub_2222" w:history="1">
              <w:r w:rsidRPr="007869F7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300</w:t>
            </w:r>
          </w:p>
        </w:tc>
      </w:tr>
      <w:tr w:rsidR="0088007C" w:rsidRPr="007869F7" w:rsidTr="00392666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Премиальные выплаты по итогам работы</w:t>
            </w:r>
            <w:hyperlink w:anchor="sub_2222" w:history="1">
              <w:r w:rsidRPr="007869F7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300</w:t>
            </w:r>
          </w:p>
        </w:tc>
      </w:tr>
    </w:tbl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222"/>
      <w:r w:rsidRPr="007869F7">
        <w:rPr>
          <w:rFonts w:ascii="Times New Roman" w:eastAsia="Times New Roman" w:hAnsi="Times New Roman" w:cs="Times New Roman"/>
          <w:sz w:val="26"/>
          <w:szCs w:val="26"/>
          <w:lang w:eastAsia="ru-RU"/>
        </w:rPr>
        <w:t>* Выплаты осуществляются в пределах фонда оплаты труда Учреждения</w:t>
      </w:r>
    </w:p>
    <w:bookmarkEnd w:id="13"/>
    <w:p w:rsidR="0079277C" w:rsidRDefault="007927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277C" w:rsidSect="00400AE3">
          <w:pgSz w:w="11906" w:h="16838" w:code="9"/>
          <w:pgMar w:top="1134" w:right="567" w:bottom="1134" w:left="1985" w:header="510" w:footer="510" w:gutter="0"/>
          <w:cols w:space="708"/>
          <w:titlePg/>
          <w:docGrid w:linePitch="360"/>
        </w:sectPr>
      </w:pPr>
    </w:p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5</w:t>
      </w:r>
      <w:r w:rsidR="005B0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869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Pr="0078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</w:p>
    <w:bookmarkEnd w:id="12"/>
    <w:p w:rsidR="0088007C" w:rsidRPr="007869F7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77C" w:rsidRPr="0079277C" w:rsidRDefault="0088007C" w:rsidP="0079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9277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Виды и размеры выплат компенсационного и стимулирующего характера </w:t>
      </w:r>
    </w:p>
    <w:p w:rsidR="0088007C" w:rsidRPr="0079277C" w:rsidRDefault="0088007C" w:rsidP="00792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9277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руководителю, заместителю руководителя </w:t>
      </w:r>
      <w:r w:rsidR="0079277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</w:t>
      </w:r>
      <w:r w:rsidRPr="0079277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чреждения</w:t>
      </w:r>
    </w:p>
    <w:p w:rsidR="0088007C" w:rsidRPr="007927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60"/>
        <w:gridCol w:w="3704"/>
        <w:gridCol w:w="3119"/>
        <w:gridCol w:w="1701"/>
      </w:tblGrid>
      <w:tr w:rsidR="0088007C" w:rsidRPr="007869F7" w:rsidTr="00124C9D"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выплаты</w:t>
            </w:r>
          </w:p>
        </w:tc>
      </w:tr>
      <w:tr w:rsidR="0088007C" w:rsidRPr="007869F7" w:rsidTr="00124C9D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1. Выплаты компенсационного характера</w:t>
            </w:r>
          </w:p>
        </w:tc>
      </w:tr>
      <w:tr w:rsidR="0088007C" w:rsidRPr="0088007C" w:rsidTr="00124C9D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работу в условиях, отклоняющихся от нормальных:</w:t>
            </w:r>
          </w:p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совмещение должностей,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7869F7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9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4462B7" w:rsidP="0044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соглашению сторон трудового договора с учетом со-держания и (или) объема дополни-тельной работы</w:t>
            </w:r>
          </w:p>
        </w:tc>
      </w:tr>
      <w:tr w:rsidR="00A3309A" w:rsidRPr="0088007C" w:rsidTr="00B40F6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A" w:rsidRPr="0088007C" w:rsidRDefault="00A3309A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9A" w:rsidRPr="0088007C" w:rsidRDefault="00A3309A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сверхурочную работу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09A" w:rsidRPr="0088007C" w:rsidRDefault="00A3309A" w:rsidP="00A3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первые два часа работы - полуторн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 оклада (должностного оклада), за последующие часы - двой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 оклада (должностного оклада)</w:t>
            </w:r>
          </w:p>
        </w:tc>
      </w:tr>
      <w:tr w:rsidR="00A010ED" w:rsidRPr="0088007C" w:rsidTr="00B40F6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D" w:rsidRPr="0088007C" w:rsidRDefault="00A010ED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ED" w:rsidRPr="0088007C" w:rsidRDefault="00A010ED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работу в выходные и нерабочие праздничные дни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ED" w:rsidRPr="0088007C" w:rsidRDefault="00A010ED" w:rsidP="00A0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размере одинарной части оклада (должностного оклада)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части оклада (должностного оклада) за день или час работы сверх оклада (должностного оклада), если работа производилась сверх месячной нормы рабочего времени</w:t>
            </w:r>
          </w:p>
        </w:tc>
      </w:tr>
      <w:tr w:rsidR="0088007C" w:rsidRPr="0088007C" w:rsidTr="00124C9D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выполнение работ с вредными и (или) опасными условиями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 до 12</w:t>
            </w:r>
          </w:p>
        </w:tc>
      </w:tr>
      <w:tr w:rsidR="0088007C" w:rsidRPr="0088007C" w:rsidTr="00124C9D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работу в ночное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окладу), рассчитанному за час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за каждый час работы в ночное время</w:t>
            </w:r>
          </w:p>
        </w:tc>
      </w:tr>
      <w:tr w:rsidR="0088007C" w:rsidRPr="0088007C" w:rsidTr="00124C9D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к заработной плате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заработной плате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8007C" w:rsidRPr="0088007C" w:rsidTr="00124C9D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07C" w:rsidRPr="005B053F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53F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2. Выплаты стимулирующего характера</w:t>
            </w:r>
          </w:p>
        </w:tc>
      </w:tr>
      <w:tr w:rsidR="0088007C" w:rsidRPr="0088007C" w:rsidTr="00124C9D"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стаж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10 - 30</w:t>
            </w:r>
          </w:p>
        </w:tc>
      </w:tr>
      <w:tr w:rsidR="0088007C" w:rsidRPr="0088007C" w:rsidTr="00124C9D"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качество выполняемых работ</w:t>
            </w:r>
            <w:hyperlink w:anchor="sub_1111" w:history="1">
              <w:r w:rsidRPr="0088007C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5 - 150</w:t>
            </w:r>
          </w:p>
        </w:tc>
      </w:tr>
      <w:tr w:rsidR="0088007C" w:rsidRPr="0088007C" w:rsidTr="00124C9D"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интенсивность и высокие результаты работы</w:t>
            </w:r>
            <w:hyperlink w:anchor="sub_1111" w:history="1">
              <w:r w:rsidRPr="0088007C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300</w:t>
            </w:r>
          </w:p>
        </w:tc>
      </w:tr>
      <w:tr w:rsidR="0088007C" w:rsidRPr="0088007C" w:rsidTr="00124C9D"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Премиальные выплаты по итогам работы</w:t>
            </w:r>
            <w:hyperlink w:anchor="sub_1111" w:history="1">
              <w:r w:rsidRPr="0088007C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окладу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7C" w:rsidRPr="0088007C" w:rsidRDefault="0088007C" w:rsidP="0088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300</w:t>
            </w:r>
          </w:p>
        </w:tc>
      </w:tr>
    </w:tbl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0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111"/>
      <w:r w:rsidRPr="0088007C">
        <w:rPr>
          <w:rFonts w:ascii="Times New Roman" w:eastAsia="Times New Roman" w:hAnsi="Times New Roman" w:cs="Times New Roman"/>
          <w:sz w:val="26"/>
          <w:szCs w:val="26"/>
          <w:lang w:eastAsia="ru-RU"/>
        </w:rPr>
        <w:t>* Выплаты осуществляются в предел</w:t>
      </w:r>
      <w:r w:rsidR="0079277C">
        <w:rPr>
          <w:rFonts w:ascii="Times New Roman" w:eastAsia="Times New Roman" w:hAnsi="Times New Roman" w:cs="Times New Roman"/>
          <w:sz w:val="26"/>
          <w:szCs w:val="26"/>
          <w:lang w:eastAsia="ru-RU"/>
        </w:rPr>
        <w:t>ах фонда оплаты труда Учреждения</w:t>
      </w:r>
    </w:p>
    <w:bookmarkEnd w:id="14"/>
    <w:p w:rsidR="00C24568" w:rsidRDefault="00C24568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24568" w:rsidSect="00400AE3">
          <w:pgSz w:w="11906" w:h="16838" w:code="9"/>
          <w:pgMar w:top="1134" w:right="567" w:bottom="1134" w:left="1985" w:header="510" w:footer="510" w:gutter="0"/>
          <w:cols w:space="708"/>
          <w:titlePg/>
          <w:docGrid w:linePitch="360"/>
        </w:sectPr>
      </w:pPr>
    </w:p>
    <w:p w:rsidR="0088007C" w:rsidRPr="0088007C" w:rsidRDefault="002802B3" w:rsidP="008800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5" w:name="sub_1006"/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П</w:t>
      </w:r>
      <w:r w:rsidR="0088007C" w:rsidRPr="0088007C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риложение 6</w:t>
      </w:r>
      <w:r w:rsidR="005B053F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</w:t>
      </w:r>
      <w:r w:rsidR="0088007C" w:rsidRPr="0088007C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к </w:t>
      </w:r>
      <w:hyperlink w:anchor="sub_1000" w:history="1">
        <w:r w:rsidR="0088007C" w:rsidRPr="0088007C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Положению</w:t>
        </w:r>
      </w:hyperlink>
    </w:p>
    <w:bookmarkEnd w:id="15"/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8007C" w:rsidRPr="0088007C" w:rsidRDefault="0088007C" w:rsidP="005B05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B053F">
        <w:rPr>
          <w:rFonts w:ascii="Times New Roman CYR" w:eastAsia="Times New Roman" w:hAnsi="Times New Roman CYR" w:cs="Times New Roman CYR"/>
          <w:bCs/>
          <w:color w:val="26282F"/>
          <w:sz w:val="26"/>
          <w:szCs w:val="26"/>
          <w:lang w:eastAsia="ru-RU"/>
        </w:rPr>
        <w:t>Порядок</w:t>
      </w:r>
      <w:r w:rsidR="005B053F" w:rsidRPr="005B053F">
        <w:rPr>
          <w:rFonts w:ascii="Times New Roman CYR" w:eastAsia="Times New Roman" w:hAnsi="Times New Roman CYR" w:cs="Times New Roman CYR"/>
          <w:bCs/>
          <w:color w:val="26282F"/>
          <w:sz w:val="26"/>
          <w:szCs w:val="26"/>
          <w:lang w:eastAsia="ru-RU"/>
        </w:rPr>
        <w:t xml:space="preserve"> </w:t>
      </w:r>
      <w:r w:rsidRPr="005B053F">
        <w:rPr>
          <w:rFonts w:ascii="Times New Roman CYR" w:eastAsia="Times New Roman" w:hAnsi="Times New Roman CYR" w:cs="Times New Roman CYR"/>
          <w:bCs/>
          <w:color w:val="26282F"/>
          <w:sz w:val="26"/>
          <w:szCs w:val="26"/>
          <w:lang w:eastAsia="ru-RU"/>
        </w:rPr>
        <w:t>определения стажа работы</w:t>
      </w: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6" w:name="sub_100"/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 Стаж работы заместителей рук</w:t>
      </w:r>
      <w:r w:rsidR="007927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оводителя, работников Учреждения</w:t>
      </w: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для установления ежемесячной выплаты определяется комиссией по установлению трудового стажа.</w:t>
      </w:r>
    </w:p>
    <w:bookmarkEnd w:id="16"/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Состав комиссии утверждается приказом руководителя Учреждения.</w:t>
      </w: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Комиссия уточняет список работников и стаж работы, дающий право на получение выплаты, по мере необходимости, но не реже одного раза в год.</w:t>
      </w: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Решение комиссии оформляется протоколом.</w:t>
      </w: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Споры, возникающие при установлении выплаты за стаж работы, рассматриваются во внесудебном и в судебном порядке.</w:t>
      </w: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7" w:name="sub_200"/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 Основным документом для определения стажа работы является трудовая книжка.</w:t>
      </w:r>
    </w:p>
    <w:bookmarkEnd w:id="17"/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Стаж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</w:t>
      </w:r>
      <w:r w:rsidR="00931B5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</w:t>
      </w: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чреждений, скрепленных печатью, выданных на основании документов, подтверждающих стаж работы по специальности (приказы, книги учета личного состава, табельные книги, архивные описи и т.д.). Справки должны содержать данные о наименовании </w:t>
      </w:r>
      <w:r w:rsidR="00931B5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</w:t>
      </w:r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88007C" w:rsidRPr="0088007C" w:rsidRDefault="0088007C" w:rsidP="008800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8" w:name="sub_300"/>
      <w:r w:rsidRPr="0088007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3. На основании решения комиссии издается приказ руководителя Учреждения о выплатах, установленных работникам за стаж работы.</w:t>
      </w:r>
    </w:p>
    <w:bookmarkEnd w:id="18"/>
    <w:p w:rsidR="00C24568" w:rsidRDefault="00C24568"/>
    <w:sectPr w:rsidR="00C24568" w:rsidSect="0079277C">
      <w:pgSz w:w="11906" w:h="16838" w:code="9"/>
      <w:pgMar w:top="1134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04" w:rsidRDefault="00881104" w:rsidP="002802B3">
      <w:pPr>
        <w:spacing w:after="0" w:line="240" w:lineRule="auto"/>
      </w:pPr>
      <w:r>
        <w:separator/>
      </w:r>
    </w:p>
  </w:endnote>
  <w:endnote w:type="continuationSeparator" w:id="0">
    <w:p w:rsidR="00881104" w:rsidRDefault="00881104" w:rsidP="0028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04" w:rsidRDefault="00881104" w:rsidP="002802B3">
      <w:pPr>
        <w:spacing w:after="0" w:line="240" w:lineRule="auto"/>
      </w:pPr>
      <w:r>
        <w:separator/>
      </w:r>
    </w:p>
  </w:footnote>
  <w:footnote w:type="continuationSeparator" w:id="0">
    <w:p w:rsidR="00881104" w:rsidRDefault="00881104" w:rsidP="0028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3" w:rsidRDefault="00400A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87946">
      <w:rPr>
        <w:noProof/>
      </w:rPr>
      <w:t>2</w:t>
    </w:r>
    <w:r>
      <w:rPr>
        <w:noProof/>
      </w:rPr>
      <w:fldChar w:fldCharType="end"/>
    </w:r>
  </w:p>
  <w:p w:rsidR="00400AE3" w:rsidRDefault="00400A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E4EAE"/>
    <w:multiLevelType w:val="hybridMultilevel"/>
    <w:tmpl w:val="FBA6A9C6"/>
    <w:lvl w:ilvl="0" w:tplc="8E94264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520"/>
    <w:multiLevelType w:val="hybridMultilevel"/>
    <w:tmpl w:val="AB0A3D52"/>
    <w:lvl w:ilvl="0" w:tplc="8B4092A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3F74"/>
    <w:multiLevelType w:val="hybridMultilevel"/>
    <w:tmpl w:val="0568CD96"/>
    <w:lvl w:ilvl="0" w:tplc="ABA4443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11F4"/>
    <w:multiLevelType w:val="multilevel"/>
    <w:tmpl w:val="80C0E19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0D705F"/>
    <w:multiLevelType w:val="hybridMultilevel"/>
    <w:tmpl w:val="F5CE6E5E"/>
    <w:lvl w:ilvl="0" w:tplc="569C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47643"/>
    <w:multiLevelType w:val="multilevel"/>
    <w:tmpl w:val="50B0F59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4DD6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A62A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8F5E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93A0D"/>
    <w:multiLevelType w:val="hybridMultilevel"/>
    <w:tmpl w:val="F3B051E0"/>
    <w:lvl w:ilvl="0" w:tplc="60F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D4F3D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92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161806"/>
    <w:multiLevelType w:val="hybridMultilevel"/>
    <w:tmpl w:val="F1108A30"/>
    <w:lvl w:ilvl="0" w:tplc="A5680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A1A88"/>
    <w:multiLevelType w:val="hybridMultilevel"/>
    <w:tmpl w:val="11A8AABC"/>
    <w:lvl w:ilvl="0" w:tplc="40DE0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D5AF4"/>
    <w:multiLevelType w:val="hybridMultilevel"/>
    <w:tmpl w:val="46440EA0"/>
    <w:lvl w:ilvl="0" w:tplc="7B447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505AF"/>
    <w:multiLevelType w:val="hybridMultilevel"/>
    <w:tmpl w:val="FE4E7ED4"/>
    <w:lvl w:ilvl="0" w:tplc="C0C259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66"/>
    <w:multiLevelType w:val="hybridMultilevel"/>
    <w:tmpl w:val="3A7C10F6"/>
    <w:lvl w:ilvl="0" w:tplc="A33835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68C52DEA"/>
    <w:multiLevelType w:val="hybridMultilevel"/>
    <w:tmpl w:val="6DF4BFD0"/>
    <w:lvl w:ilvl="0" w:tplc="4DA8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2A136E"/>
    <w:multiLevelType w:val="hybridMultilevel"/>
    <w:tmpl w:val="3A7C10F6"/>
    <w:lvl w:ilvl="0" w:tplc="A33835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40960B1"/>
    <w:multiLevelType w:val="singleLevel"/>
    <w:tmpl w:val="44CA67FC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6"/>
      </w:rPr>
    </w:lvl>
  </w:abstractNum>
  <w:abstractNum w:abstractNumId="21" w15:restartNumberingAfterBreak="0">
    <w:nsid w:val="76D7606B"/>
    <w:multiLevelType w:val="hybridMultilevel"/>
    <w:tmpl w:val="9EE0A1BA"/>
    <w:lvl w:ilvl="0" w:tplc="A17CAB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7A672319"/>
    <w:multiLevelType w:val="multilevel"/>
    <w:tmpl w:val="B81A589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15"/>
  </w:num>
  <w:num w:numId="12">
    <w:abstractNumId w:val="21"/>
  </w:num>
  <w:num w:numId="13">
    <w:abstractNumId w:val="22"/>
  </w:num>
  <w:num w:numId="14">
    <w:abstractNumId w:val="2"/>
  </w:num>
  <w:num w:numId="15">
    <w:abstractNumId w:val="1"/>
  </w:num>
  <w:num w:numId="16">
    <w:abstractNumId w:val="19"/>
  </w:num>
  <w:num w:numId="17">
    <w:abstractNumId w:val="17"/>
  </w:num>
  <w:num w:numId="18">
    <w:abstractNumId w:val="10"/>
  </w:num>
  <w:num w:numId="19">
    <w:abstractNumId w:val="3"/>
  </w:num>
  <w:num w:numId="20">
    <w:abstractNumId w:val="16"/>
  </w:num>
  <w:num w:numId="21">
    <w:abstractNumId w:val="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5"/>
    <w:rsid w:val="000500DC"/>
    <w:rsid w:val="00057F67"/>
    <w:rsid w:val="00091290"/>
    <w:rsid w:val="000C65CA"/>
    <w:rsid w:val="000D155A"/>
    <w:rsid w:val="00100FA0"/>
    <w:rsid w:val="00124C9D"/>
    <w:rsid w:val="00125367"/>
    <w:rsid w:val="00170712"/>
    <w:rsid w:val="00226C03"/>
    <w:rsid w:val="002802B3"/>
    <w:rsid w:val="002B1858"/>
    <w:rsid w:val="002D212E"/>
    <w:rsid w:val="002F75E3"/>
    <w:rsid w:val="0030290E"/>
    <w:rsid w:val="00302D58"/>
    <w:rsid w:val="00323925"/>
    <w:rsid w:val="0036121F"/>
    <w:rsid w:val="00383EB6"/>
    <w:rsid w:val="00392666"/>
    <w:rsid w:val="00400AE3"/>
    <w:rsid w:val="004462B7"/>
    <w:rsid w:val="004774AC"/>
    <w:rsid w:val="004D4137"/>
    <w:rsid w:val="005137AB"/>
    <w:rsid w:val="0056064A"/>
    <w:rsid w:val="00587946"/>
    <w:rsid w:val="005B053F"/>
    <w:rsid w:val="005B37CD"/>
    <w:rsid w:val="005B3D53"/>
    <w:rsid w:val="005F07E0"/>
    <w:rsid w:val="005F32C6"/>
    <w:rsid w:val="006169EA"/>
    <w:rsid w:val="00631B7D"/>
    <w:rsid w:val="006B11BE"/>
    <w:rsid w:val="006D238B"/>
    <w:rsid w:val="006D6B2C"/>
    <w:rsid w:val="007869F7"/>
    <w:rsid w:val="007920D9"/>
    <w:rsid w:val="0079277C"/>
    <w:rsid w:val="0088007C"/>
    <w:rsid w:val="00881104"/>
    <w:rsid w:val="008A204B"/>
    <w:rsid w:val="008A6F62"/>
    <w:rsid w:val="008B7733"/>
    <w:rsid w:val="008F01D8"/>
    <w:rsid w:val="008F4586"/>
    <w:rsid w:val="0091030C"/>
    <w:rsid w:val="00931B54"/>
    <w:rsid w:val="00962514"/>
    <w:rsid w:val="00986865"/>
    <w:rsid w:val="009A5CCF"/>
    <w:rsid w:val="00A010ED"/>
    <w:rsid w:val="00A3309A"/>
    <w:rsid w:val="00A81B1A"/>
    <w:rsid w:val="00AD6754"/>
    <w:rsid w:val="00B17924"/>
    <w:rsid w:val="00B40F67"/>
    <w:rsid w:val="00B6688C"/>
    <w:rsid w:val="00B93271"/>
    <w:rsid w:val="00BB27B8"/>
    <w:rsid w:val="00C00F3D"/>
    <w:rsid w:val="00C23567"/>
    <w:rsid w:val="00C24568"/>
    <w:rsid w:val="00C46ADB"/>
    <w:rsid w:val="00CA1C03"/>
    <w:rsid w:val="00CB6B35"/>
    <w:rsid w:val="00D65A64"/>
    <w:rsid w:val="00DB0661"/>
    <w:rsid w:val="00DE57DD"/>
    <w:rsid w:val="00EB1492"/>
    <w:rsid w:val="00EE04E2"/>
    <w:rsid w:val="00EF0D3D"/>
    <w:rsid w:val="00F04AF3"/>
    <w:rsid w:val="00F10A88"/>
    <w:rsid w:val="00F24922"/>
    <w:rsid w:val="00F35CEC"/>
    <w:rsid w:val="00F83DE4"/>
    <w:rsid w:val="00FA712A"/>
    <w:rsid w:val="00FC59E4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6A036-AC1E-4774-8AED-98DECEA6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0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800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8800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800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8800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007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8007C"/>
    <w:pPr>
      <w:keepNext/>
      <w:spacing w:after="0" w:line="160" w:lineRule="exact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8007C"/>
    <w:pPr>
      <w:spacing w:before="240" w:after="60" w:line="240" w:lineRule="auto"/>
      <w:outlineLvl w:val="8"/>
    </w:pPr>
    <w:rPr>
      <w:rFonts w:ascii="Cambria" w:eastAsia="Times New Roman" w:hAnsi="Cambria" w:cs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0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8007C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8007C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8007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88007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8007C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80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8007C"/>
    <w:rPr>
      <w:rFonts w:ascii="Cambria" w:eastAsia="Times New Roman" w:hAnsi="Cambria" w:cs="Times New Roman"/>
      <w:b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8007C"/>
  </w:style>
  <w:style w:type="paragraph" w:customStyle="1" w:styleId="ConsPlusNormal">
    <w:name w:val="ConsPlusNormal"/>
    <w:rsid w:val="0088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8007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80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8007C"/>
    <w:rPr>
      <w:b/>
      <w:color w:val="26282F"/>
      <w:sz w:val="26"/>
    </w:rPr>
  </w:style>
  <w:style w:type="paragraph" w:styleId="a5">
    <w:name w:val="Balloon Text"/>
    <w:basedOn w:val="a"/>
    <w:link w:val="a6"/>
    <w:rsid w:val="0088007C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6">
    <w:name w:val="Текст выноски Знак"/>
    <w:basedOn w:val="a0"/>
    <w:link w:val="a5"/>
    <w:rsid w:val="0088007C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customStyle="1" w:styleId="s34">
    <w:name w:val="s_34"/>
    <w:basedOn w:val="a"/>
    <w:uiPriority w:val="99"/>
    <w:rsid w:val="00880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apple-converted-space">
    <w:name w:val="apple-converted-space"/>
    <w:rsid w:val="0088007C"/>
  </w:style>
  <w:style w:type="character" w:styleId="a7">
    <w:name w:val="Strong"/>
    <w:qFormat/>
    <w:rsid w:val="0088007C"/>
    <w:rPr>
      <w:rFonts w:cs="Times New Roman"/>
      <w:b/>
    </w:rPr>
  </w:style>
  <w:style w:type="character" w:customStyle="1" w:styleId="a8">
    <w:name w:val="Гипертекстовая ссылка"/>
    <w:uiPriority w:val="99"/>
    <w:rsid w:val="0088007C"/>
    <w:rPr>
      <w:color w:val="106BBE"/>
      <w:sz w:val="26"/>
    </w:rPr>
  </w:style>
  <w:style w:type="paragraph" w:styleId="a9">
    <w:name w:val="Normal (Web)"/>
    <w:basedOn w:val="a"/>
    <w:uiPriority w:val="99"/>
    <w:rsid w:val="008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80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800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footer"/>
    <w:basedOn w:val="a"/>
    <w:link w:val="ad"/>
    <w:rsid w:val="00880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8800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e">
    <w:name w:val="Table Grid"/>
    <w:basedOn w:val="a1"/>
    <w:uiPriority w:val="99"/>
    <w:rsid w:val="0088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uiPriority w:val="99"/>
    <w:rsid w:val="0088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88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88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88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semiHidden/>
    <w:unhideWhenUsed/>
    <w:rsid w:val="0088007C"/>
  </w:style>
  <w:style w:type="paragraph" w:styleId="af">
    <w:name w:val="Title"/>
    <w:basedOn w:val="a"/>
    <w:link w:val="af0"/>
    <w:qFormat/>
    <w:rsid w:val="00880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0">
    <w:name w:val="Заголовок Знак"/>
    <w:basedOn w:val="a0"/>
    <w:link w:val="af"/>
    <w:rsid w:val="0088007C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f1">
    <w:name w:val="Body Text"/>
    <w:basedOn w:val="a"/>
    <w:link w:val="af2"/>
    <w:rsid w:val="008800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88007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f3">
    <w:name w:val="page number"/>
    <w:rsid w:val="0088007C"/>
  </w:style>
  <w:style w:type="paragraph" w:styleId="af4">
    <w:name w:val="Body Text Indent"/>
    <w:basedOn w:val="a"/>
    <w:link w:val="af5"/>
    <w:rsid w:val="0088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88007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rsid w:val="0088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8007C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af6">
    <w:name w:val="Document Map"/>
    <w:basedOn w:val="a"/>
    <w:link w:val="af7"/>
    <w:semiHidden/>
    <w:rsid w:val="0088007C"/>
    <w:pPr>
      <w:shd w:val="clear" w:color="auto" w:fill="000080"/>
      <w:spacing w:after="0" w:line="240" w:lineRule="auto"/>
    </w:pPr>
    <w:rPr>
      <w:rFonts w:ascii="Tahoma" w:eastAsia="Times New Roman" w:hAnsi="Tahoma" w:cs="Times New Roman"/>
      <w:b/>
      <w:sz w:val="26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semiHidden/>
    <w:rsid w:val="0088007C"/>
    <w:rPr>
      <w:rFonts w:ascii="Tahoma" w:eastAsia="Times New Roman" w:hAnsi="Tahoma" w:cs="Times New Roman"/>
      <w:b/>
      <w:sz w:val="26"/>
      <w:szCs w:val="20"/>
      <w:shd w:val="clear" w:color="auto" w:fill="000080"/>
      <w:lang w:val="x-none" w:eastAsia="x-none"/>
    </w:rPr>
  </w:style>
  <w:style w:type="paragraph" w:styleId="31">
    <w:name w:val="Body Text 3"/>
    <w:basedOn w:val="a"/>
    <w:link w:val="32"/>
    <w:rsid w:val="0088007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8007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88007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customStyle="1" w:styleId="23">
    <w:name w:val="заголовок 2"/>
    <w:basedOn w:val="a"/>
    <w:next w:val="a"/>
    <w:rsid w:val="0088007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ru-RU"/>
    </w:rPr>
  </w:style>
  <w:style w:type="paragraph" w:styleId="24">
    <w:name w:val="Body Text 2"/>
    <w:basedOn w:val="a"/>
    <w:link w:val="25"/>
    <w:rsid w:val="0088007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14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8007C"/>
    <w:rPr>
      <w:rFonts w:ascii="Times New Roman" w:eastAsia="Times New Roman" w:hAnsi="Times New Roman" w:cs="Times New Roman"/>
      <w:bCs/>
      <w:sz w:val="14"/>
      <w:szCs w:val="20"/>
      <w:lang w:val="x-none" w:eastAsia="x-none"/>
    </w:rPr>
  </w:style>
  <w:style w:type="table" w:customStyle="1" w:styleId="14">
    <w:name w:val="Сетка таблицы1"/>
    <w:basedOn w:val="a1"/>
    <w:next w:val="ae"/>
    <w:rsid w:val="00880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uiPriority w:val="99"/>
    <w:rsid w:val="0088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8800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8800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b">
    <w:name w:val="Информация о версии"/>
    <w:basedOn w:val="afa"/>
    <w:next w:val="a"/>
    <w:uiPriority w:val="99"/>
    <w:rsid w:val="0088007C"/>
    <w:rPr>
      <w:i/>
      <w:iCs/>
    </w:rPr>
  </w:style>
  <w:style w:type="paragraph" w:customStyle="1" w:styleId="afc">
    <w:name w:val="Информация об изменениях"/>
    <w:basedOn w:val="a"/>
    <w:next w:val="a"/>
    <w:uiPriority w:val="99"/>
    <w:rsid w:val="0088007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880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styleId="afe">
    <w:name w:val="Emphasis"/>
    <w:uiPriority w:val="20"/>
    <w:qFormat/>
    <w:rsid w:val="0088007C"/>
    <w:rPr>
      <w:i/>
      <w:iCs/>
    </w:rPr>
  </w:style>
  <w:style w:type="paragraph" w:customStyle="1" w:styleId="s16">
    <w:name w:val="s_16"/>
    <w:basedOn w:val="a"/>
    <w:rsid w:val="008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88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880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4136</Words>
  <Characters>23581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4. Выплаты компенсационного характера, порядок и условия их применения</vt:lpstr>
      <vt:lpstr/>
      <vt:lpstr>5. Выплаты стимулирующего характера, порядок и условия их применения</vt:lpstr>
      <vt:lpstr/>
      <vt:lpstr>6. Формирование фонда оплаты труда</vt:lpstr>
      <vt:lpstr>7. Применение Положения Учреждением</vt:lpstr>
      <vt:lpstr>Размер минимальных окладов (должностных окладов) по профессиональным квалификаци</vt:lpstr>
      <vt:lpstr>Коэффициенты квалификационного уровня</vt:lpstr>
      <vt:lpstr>Профессиональные квалификационные группы</vt:lpstr>
      <vt:lpstr>Виды и размеры выплат компенсационного и стимулирующего характера работникам учр</vt:lpstr>
      <vt:lpstr>Виды и размеры выплат компенсационного и стимулирующего характера </vt:lpstr>
      <vt:lpstr>руководителю, заместителю руководителя Учреждения</vt:lpstr>
      <vt:lpstr>Порядок определения стажа работы</vt:lpstr>
    </vt:vector>
  </TitlesOfParts>
  <Company>CMIRiT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2019-02-28T05:51:00Z</cp:lastPrinted>
  <dcterms:created xsi:type="dcterms:W3CDTF">2019-03-04T07:53:00Z</dcterms:created>
  <dcterms:modified xsi:type="dcterms:W3CDTF">2019-03-04T07:53:00Z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-1659856585</vt:i4>
  </property>
  <property fmtid="{D5CDD505-2E9C-101B-9397-08002B2CF9AE}" pid="3" name="_NewReviewCycle">
    <vt:lpwstr/>
  </property>
  <property fmtid="{D5CDD505-2E9C-101B-9397-08002B2CF9AE}" pid="4" name="_EmailSubject">
    <vt:lpwstr>на вычитку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7" name="_ReviewingToolsShownOnce">
    <vt:lpwstr/>
  </property>
</Properties>
</file>