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 февраля 2011 года N 6-ФЗ</w:t>
      </w:r>
      <w:r w:rsidRPr="003C0388">
        <w:rPr>
          <w:rFonts w:ascii="Times New Roman" w:hAnsi="Times New Roman" w:cs="Times New Roman"/>
          <w:sz w:val="26"/>
          <w:szCs w:val="26"/>
        </w:rPr>
        <w:br/>
      </w:r>
    </w:p>
    <w:p w:rsidR="003C0388" w:rsidRPr="003C0388" w:rsidRDefault="003C0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388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388">
        <w:rPr>
          <w:rFonts w:ascii="Times New Roman" w:hAnsi="Times New Roman" w:cs="Times New Roman"/>
          <w:b/>
          <w:bCs/>
          <w:sz w:val="26"/>
          <w:szCs w:val="26"/>
        </w:rPr>
        <w:t>ФЕДЕРАЛЬНЫЙ ЗАКОН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388">
        <w:rPr>
          <w:rFonts w:ascii="Times New Roman" w:hAnsi="Times New Roman" w:cs="Times New Roman"/>
          <w:b/>
          <w:bCs/>
          <w:sz w:val="26"/>
          <w:szCs w:val="26"/>
        </w:rPr>
        <w:t>ОБ ОБЩИХ ПРИНЦИПАХ ОРГАНИЗАЦИИ И ДЕЯТЕЛЬНОСТИ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388">
        <w:rPr>
          <w:rFonts w:ascii="Times New Roman" w:hAnsi="Times New Roman" w:cs="Times New Roman"/>
          <w:b/>
          <w:bCs/>
          <w:sz w:val="26"/>
          <w:szCs w:val="26"/>
        </w:rPr>
        <w:t>КОНТРОЛЬНО-СЧЕТНЫХ ОРГАНОВ СУБЪЕКТОВ РОССИЙСКОЙ ФЕДЕРАЦИИ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388">
        <w:rPr>
          <w:rFonts w:ascii="Times New Roman" w:hAnsi="Times New Roman" w:cs="Times New Roman"/>
          <w:b/>
          <w:bCs/>
          <w:sz w:val="26"/>
          <w:szCs w:val="26"/>
        </w:rPr>
        <w:t>И МУНИЦИПАЛЬНЫХ ОБРАЗОВАНИЙ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28 января 2011 года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Одобрен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 февраля 2011 года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02.07.2013 </w:t>
      </w:r>
      <w:hyperlink r:id="rId5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N 185-ФЗ</w:t>
        </w:r>
      </w:hyperlink>
      <w:r w:rsidRPr="003C038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от 04.03.2014 </w:t>
      </w:r>
      <w:hyperlink r:id="rId6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N 23-ФЗ</w:t>
        </w:r>
      </w:hyperlink>
      <w:r w:rsidRPr="003C0388">
        <w:rPr>
          <w:rFonts w:ascii="Times New Roman" w:hAnsi="Times New Roman" w:cs="Times New Roman"/>
          <w:sz w:val="26"/>
          <w:szCs w:val="26"/>
        </w:rPr>
        <w:t>)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3"/>
      <w:bookmarkEnd w:id="0"/>
      <w:r w:rsidRPr="003C0388">
        <w:rPr>
          <w:rFonts w:ascii="Times New Roman" w:hAnsi="Times New Roman" w:cs="Times New Roman"/>
          <w:sz w:val="26"/>
          <w:szCs w:val="26"/>
        </w:rPr>
        <w:t>Статья 1. Цель настоящего Федерального закона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контрольно-счетных органов муниципальных образований (далее также - контрольно-счетные органы).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3C0388">
        <w:rPr>
          <w:rFonts w:ascii="Times New Roman" w:hAnsi="Times New Roman" w:cs="Times New Roman"/>
          <w:sz w:val="26"/>
          <w:szCs w:val="26"/>
        </w:rPr>
        <w:t>Статья 2. Правовое регулирование организации и деятельности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7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 и осуществляется Федеральным </w:t>
      </w:r>
      <w:hyperlink r:id="rId8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Бюджетным </w:t>
      </w:r>
      <w:hyperlink r:id="rId9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конституцией (уставом), законами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субъектов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hyperlink r:id="rId10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 и осуществляется Федеральным </w:t>
      </w:r>
      <w:hyperlink r:id="rId11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Федерации", Бюджетным </w:t>
      </w:r>
      <w:hyperlink r:id="rId12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правовые акты, регулирующие вопросы организации и деятельности контрольно-счетных органов, не должны противоречить Бюджетному </w:t>
      </w:r>
      <w:hyperlink r:id="rId13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кодексу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 и настоящему Федеральному закону.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3"/>
      <w:bookmarkEnd w:id="2"/>
      <w:r w:rsidRPr="003C0388">
        <w:rPr>
          <w:rFonts w:ascii="Times New Roman" w:hAnsi="Times New Roman" w:cs="Times New Roman"/>
          <w:sz w:val="26"/>
          <w:szCs w:val="26"/>
        </w:rPr>
        <w:t>Статья 3. Основы статуса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 представительному органу муниципального образования (далее также - законодательные (представительные) органы).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Контрольно-счетные органы обладают организационной и функциональной независимостью и осуществляют свою деятельность самостоятельно.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6. Наименования, полномочия, состав и порядок деятельности 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Федеральным законом.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Контрольно-счетный орган субъекта Российской Федерации обладает правами юридического лица.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8. Контрольно-счетный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9. Контрольно-счетные органы имеют гербовую печать и бланки со своим наименованием и с изображением герба субъекта Российской Федерации или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федерального значения.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12. В порядке, определяемом законами субъектов Российской Федерации - городов федерального значения, представительные органы внутригородских муниципальных образований городов федерального значения вправе заключать соглашения с контрольно-счетными органами субъектов Российской Федерации - городов федерального значения о передаче им полномочий по осуществлению внешнего муниципального финансового контроля.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r w:rsidRPr="003C0388">
        <w:rPr>
          <w:rFonts w:ascii="Times New Roman" w:hAnsi="Times New Roman" w:cs="Times New Roman"/>
          <w:sz w:val="26"/>
          <w:szCs w:val="26"/>
        </w:rPr>
        <w:t>Статья 4. Принципы деятельности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52"/>
      <w:bookmarkEnd w:id="4"/>
      <w:r w:rsidRPr="003C0388">
        <w:rPr>
          <w:rFonts w:ascii="Times New Roman" w:hAnsi="Times New Roman" w:cs="Times New Roman"/>
          <w:sz w:val="26"/>
          <w:szCs w:val="26"/>
        </w:rPr>
        <w:t>Статья 5. Состав и структура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Контрольно-счетный орган субъекта Российской Федерации образуется в составе председателя, аудиторов и аппарата контрольно-счетного органа.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Должности председателя,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Срок полномочий председателя, заместителя председателя 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lastRenderedPageBreak/>
        <w:t>5. Структура контрольно-счетного органа определяется в 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6. В состав аппарата контрольно-счетного органа входят 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9. Права, обязанности и ответственность работников контрольно-счетных органов определяются настоящим Федеральным законом, </w:t>
      </w:r>
      <w:hyperlink r:id="rId14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 государственной гражданской службе, </w:t>
      </w:r>
      <w:hyperlink r:id="rId15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трудовым </w:t>
      </w:r>
      <w:hyperlink r:id="rId16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актами, содержащими нормы трудового права.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Par65"/>
      <w:bookmarkEnd w:id="5"/>
      <w:r w:rsidRPr="003C0388">
        <w:rPr>
          <w:rFonts w:ascii="Times New Roman" w:hAnsi="Times New Roman" w:cs="Times New Roman"/>
          <w:sz w:val="26"/>
          <w:szCs w:val="26"/>
        </w:rPr>
        <w:t>Статья 6. Порядок назначения на должность председателя, заместителя председателя и аудиторов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Председатель, заместитель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3) высшим должностным лицом субъекта Российской Федерации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(руководителем высшего исполнительного органа государственной власти субъекта Российской Федерации).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Предложения о кандидатурах на должности заместителя 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Порядок рассмотрения кандидатур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председателем представительного органа муниципального образования;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главой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9. Предложения о кандидатурах на должности заместителя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10.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ar84"/>
      <w:bookmarkEnd w:id="6"/>
      <w:r w:rsidRPr="003C0388">
        <w:rPr>
          <w:rFonts w:ascii="Times New Roman" w:hAnsi="Times New Roman" w:cs="Times New Roman"/>
          <w:sz w:val="26"/>
          <w:szCs w:val="26"/>
        </w:rPr>
        <w:t>Статья 7. Требования к кандидатурам на должности председателя, заместителя председателя и аудиторов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6"/>
      <w:bookmarkEnd w:id="7"/>
      <w:r w:rsidRPr="003C0388">
        <w:rPr>
          <w:rFonts w:ascii="Times New Roman" w:hAnsi="Times New Roman" w:cs="Times New Roman"/>
          <w:sz w:val="26"/>
          <w:szCs w:val="26"/>
        </w:rPr>
        <w:lastRenderedPageBreak/>
        <w:t>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7"/>
      <w:bookmarkEnd w:id="8"/>
      <w:r w:rsidRPr="003C0388">
        <w:rPr>
          <w:rFonts w:ascii="Times New Roman" w:hAnsi="Times New Roman" w:cs="Times New Roman"/>
          <w:sz w:val="26"/>
          <w:szCs w:val="26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w:anchor="Par86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7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9"/>
      <w:bookmarkEnd w:id="9"/>
      <w:r w:rsidRPr="003C0388">
        <w:rPr>
          <w:rFonts w:ascii="Times New Roman" w:hAnsi="Times New Roman" w:cs="Times New Roman"/>
          <w:sz w:val="26"/>
          <w:szCs w:val="26"/>
        </w:rP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руководителями органов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7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04.03.2014 N 23-ФЗ)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6"/>
      <w:bookmarkEnd w:id="10"/>
      <w:r w:rsidRPr="003C038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ред. Федерального </w:t>
      </w:r>
      <w:hyperlink r:id="rId18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04.03.2014 N 23-ФЗ)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Par101"/>
      <w:bookmarkEnd w:id="11"/>
      <w:r w:rsidRPr="003C0388">
        <w:rPr>
          <w:rFonts w:ascii="Times New Roman" w:hAnsi="Times New Roman" w:cs="Times New Roman"/>
          <w:sz w:val="26"/>
          <w:szCs w:val="26"/>
        </w:rPr>
        <w:t>Статья 8. Гарантии статуса должностных лиц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Председатели, заместители председателя, аудиторы и инспекторы контрольно-счетных органов являются должностными лицами контрольно-счетных органов.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Должностные лица контрольно-счетных органов подлежат государственной защите в соответствии с </w:t>
      </w:r>
      <w:hyperlink r:id="rId19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Должностные лица контрольно-счетных органов обладают гарантиями профессиональной независимости.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Должностное лицо контрольно-счетного органа, замещающее 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его;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2) признания его недееспособным или ограниченно дееспособным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вступившим в законную силу решением суда;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4) подачи письменного заявления об отставке;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5) нарушения требований законодательства Российской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</w:t>
      </w:r>
      <w:hyperlink w:anchor="Par89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частями 4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6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6 статьи 7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Par116"/>
      <w:bookmarkEnd w:id="12"/>
      <w:r w:rsidRPr="003C0388">
        <w:rPr>
          <w:rFonts w:ascii="Times New Roman" w:hAnsi="Times New Roman" w:cs="Times New Roman"/>
          <w:sz w:val="26"/>
          <w:szCs w:val="26"/>
        </w:rPr>
        <w:t>Статья 9. Основные полномочия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Контрольно-счетный орган субъекта Российской Федерации осуществляет следующие основные полномочия: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исполнением бюджета субъекта Российской Федерации и бюджета территориального государственного внебюджетного фонда;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 субъекта Российской Федерации, годового отчета об исполнении бюджета территориального государственного внебюджетного фонда;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субъекта Российской Федерации, средств бюджетов территориальных государственных внебюджетных фондов и иных источников, предусмотренных законодательством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государственной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 субъекту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lastRenderedPageBreak/>
        <w:t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 обоснований) в части, касающейся расходных обязательств субъекта Российской Федерации, а также государственных программ субъекта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8) анализ бюджетного процесса в субъекте Российской Федерации и подготовка предложений, направленных на его совершенствование;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9)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20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10) подготовка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11) участие в пределах полномочий в мероприятиях, направленных на противодействие коррупции;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1"/>
      <w:bookmarkEnd w:id="13"/>
      <w:r w:rsidRPr="003C0388">
        <w:rPr>
          <w:rFonts w:ascii="Times New Roman" w:hAnsi="Times New Roman" w:cs="Times New Roman"/>
          <w:sz w:val="26"/>
          <w:szCs w:val="26"/>
        </w:rPr>
        <w:t>2. Контрольно-счетный орган муниципального образования осуществляет следующие основные полномочия: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исполнением местного бюджета;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экспертиза проектов местного бюджета;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местного бюджета;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21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касающейся расходных обязательств муниципального образования, а также муниципальных программ;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10) участие в пределах полномочий в мероприятиях, направленных на противодействие коррупции;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Контрольно-счетный орган муниципального района, помимо полномочий, предусмотренных </w:t>
      </w:r>
      <w:hyperlink w:anchor="Par131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Внешний государственный и муниципальный финансовый контроль осуществляется контрольно-счетными органами: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4" w:name="Par148"/>
      <w:bookmarkEnd w:id="14"/>
      <w:r w:rsidRPr="003C0388">
        <w:rPr>
          <w:rFonts w:ascii="Times New Roman" w:hAnsi="Times New Roman" w:cs="Times New Roman"/>
          <w:sz w:val="26"/>
          <w:szCs w:val="26"/>
        </w:rPr>
        <w:t>Статья 10. Формы осуществления контрольно-счетными органами внешнего государственного и муниципального финансового контроля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lastRenderedPageBreak/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5" w:name="Par154"/>
      <w:bookmarkEnd w:id="15"/>
      <w:r w:rsidRPr="003C0388">
        <w:rPr>
          <w:rFonts w:ascii="Times New Roman" w:hAnsi="Times New Roman" w:cs="Times New Roman"/>
          <w:sz w:val="26"/>
          <w:szCs w:val="26"/>
        </w:rPr>
        <w:t>Статья 11. Стандарты внешнего государственного и муниципального финансового контроля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Контрольно-счетные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22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</w:t>
      </w:r>
      <w:hyperlink r:id="rId23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общими требованиями</w:t>
        </w:r>
      </w:hyperlink>
      <w:r w:rsidRPr="003C0388">
        <w:rPr>
          <w:rFonts w:ascii="Times New Roman" w:hAnsi="Times New Roman" w:cs="Times New Roman"/>
          <w:sz w:val="26"/>
          <w:szCs w:val="26"/>
        </w:rPr>
        <w:t>, утвержденными Счетной палатой Российской Федерации и (или) контрольно-счетным органом субъекта Российской Федерации;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6" w:name="Par163"/>
      <w:bookmarkEnd w:id="16"/>
      <w:r w:rsidRPr="003C0388">
        <w:rPr>
          <w:rFonts w:ascii="Times New Roman" w:hAnsi="Times New Roman" w:cs="Times New Roman"/>
          <w:sz w:val="26"/>
          <w:szCs w:val="26"/>
        </w:rPr>
        <w:t>Статья 12. Планирование деятельности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Планирование деятельности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представительных органов муниципальных образований.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7" w:name="Par169"/>
      <w:bookmarkEnd w:id="17"/>
      <w:r w:rsidRPr="003C0388">
        <w:rPr>
          <w:rFonts w:ascii="Times New Roman" w:hAnsi="Times New Roman" w:cs="Times New Roman"/>
          <w:sz w:val="26"/>
          <w:szCs w:val="26"/>
        </w:rPr>
        <w:t>Статья 13. Обязательность исполнения требований должностных лиц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контроль (далее также - проверяемые органы и организации).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8" w:name="Par174"/>
      <w:bookmarkEnd w:id="18"/>
      <w:r w:rsidRPr="003C0388">
        <w:rPr>
          <w:rFonts w:ascii="Times New Roman" w:hAnsi="Times New Roman" w:cs="Times New Roman"/>
          <w:sz w:val="26"/>
          <w:szCs w:val="26"/>
        </w:rPr>
        <w:t>Статья 14. Права, обязанности и ответственность должностных лиц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Должностные лица контрольно-счетных органов при осуществлении возложенных на них должностных полномочий имеют право: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78"/>
      <w:bookmarkEnd w:id="19"/>
      <w:r w:rsidRPr="003C0388">
        <w:rPr>
          <w:rFonts w:ascii="Times New Roman" w:hAnsi="Times New Roman" w:cs="Times New Roman"/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88">
        <w:rPr>
          <w:rFonts w:ascii="Times New Roman" w:hAnsi="Times New Roman"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78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1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</w:t>
      </w:r>
      <w:bookmarkStart w:id="20" w:name="_GoBack"/>
      <w:bookmarkEnd w:id="20"/>
      <w:r w:rsidRPr="003C0388">
        <w:rPr>
          <w:rFonts w:ascii="Times New Roman" w:hAnsi="Times New Roman" w:cs="Times New Roman"/>
          <w:sz w:val="26"/>
          <w:szCs w:val="26"/>
        </w:rPr>
        <w:t>ктов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Должностные лица контрольно-счетных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6. Председатель, заместитель председателя и аудиторы контрольно-счетного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 (руководителе высшего исполнительного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органа государственной власти субъекта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Российской Федерации).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1" w:name="Par193"/>
      <w:bookmarkEnd w:id="21"/>
      <w:r w:rsidRPr="003C0388">
        <w:rPr>
          <w:rFonts w:ascii="Times New Roman" w:hAnsi="Times New Roman" w:cs="Times New Roman"/>
          <w:sz w:val="26"/>
          <w:szCs w:val="26"/>
        </w:rPr>
        <w:t>Статья 15. Представление информации по запросам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95"/>
      <w:bookmarkEnd w:id="22"/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Порядок направления контрольно-счетными органами запросов, указанных в </w:t>
      </w:r>
      <w:hyperlink w:anchor="Par195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части 1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 и регламентами контрольно-счетных органов.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 xml:space="preserve">Непредставление или несвоевременное представление органами и организациями, указанными в </w:t>
      </w:r>
      <w:hyperlink w:anchor="Par195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части 1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3" w:name="Par200"/>
      <w:bookmarkEnd w:id="23"/>
      <w:r w:rsidRPr="003C0388">
        <w:rPr>
          <w:rFonts w:ascii="Times New Roman" w:hAnsi="Times New Roman" w:cs="Times New Roman"/>
          <w:sz w:val="26"/>
          <w:szCs w:val="26"/>
        </w:rPr>
        <w:t>Статья 16. Представления и предписания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привлечению к ответственности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должностных лиц, виновных в допущенных нарушениях, а также мер по пресечению, устранению и предупреждению нарушений.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Органы государственной власти и государственные органы 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6. Предписание контрольно-счетного органа должно быть исполнено в установленные в нем сроки.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8. В случае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4" w:name="Par211"/>
      <w:bookmarkEnd w:id="24"/>
      <w:r w:rsidRPr="003C0388">
        <w:rPr>
          <w:rFonts w:ascii="Times New Roman" w:hAnsi="Times New Roman" w:cs="Times New Roman"/>
          <w:sz w:val="26"/>
          <w:szCs w:val="26"/>
        </w:rPr>
        <w:t>Статья 17. Гарантии прав проверяемых органов и организаций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контрольно-счетных органов в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законодательные (представительные) органы.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5" w:name="Par216"/>
      <w:bookmarkEnd w:id="25"/>
      <w:r w:rsidRPr="003C0388">
        <w:rPr>
          <w:rFonts w:ascii="Times New Roman" w:hAnsi="Times New Roman" w:cs="Times New Roman"/>
          <w:sz w:val="26"/>
          <w:szCs w:val="26"/>
        </w:rPr>
        <w:t>Статья 18. Взаимодействие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>. Контрольно-счетные органы вправе заключать с ними соглашения о сотрудничестве и взаимодействии.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6. Контрольно-счетный орган субъекта Российской Федерации вправе: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4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02.07.2013 N 185-ФЗ)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5) по обращению контрольно-счетных органов муниципальных образований </w:t>
      </w:r>
      <w:r w:rsidRPr="003C0388">
        <w:rPr>
          <w:rFonts w:ascii="Times New Roman" w:hAnsi="Times New Roman" w:cs="Times New Roman"/>
          <w:sz w:val="26"/>
          <w:szCs w:val="26"/>
        </w:rPr>
        <w:lastRenderedPageBreak/>
        <w:t>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7. Счетная палата Российской Федерации вправе: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1) организовывать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экспертно-аналитических мероприятий;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2) оказывать контрольно-счетным органам организационную, правовую, информационную, методическую и иную помощь;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3) содействовать в получении профессионального образования и дополнительного профессионального образования работников контрольно-счетных органов;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5" w:history="1">
        <w:r w:rsidRPr="003C038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0388">
        <w:rPr>
          <w:rFonts w:ascii="Times New Roman" w:hAnsi="Times New Roman" w:cs="Times New Roman"/>
          <w:sz w:val="26"/>
          <w:szCs w:val="26"/>
        </w:rPr>
        <w:t xml:space="preserve"> от 02.07.2013 N 185-ФЗ)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6" w:name="Par238"/>
      <w:bookmarkEnd w:id="26"/>
      <w:r w:rsidRPr="003C0388">
        <w:rPr>
          <w:rFonts w:ascii="Times New Roman" w:hAnsi="Times New Roman" w:cs="Times New Roman"/>
          <w:sz w:val="26"/>
          <w:szCs w:val="26"/>
        </w:rPr>
        <w:t>Статья 19. Обеспечение доступа к информации о деятельности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>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7" w:name="Par244"/>
      <w:bookmarkEnd w:id="27"/>
      <w:r w:rsidRPr="003C0388">
        <w:rPr>
          <w:rFonts w:ascii="Times New Roman" w:hAnsi="Times New Roman" w:cs="Times New Roman"/>
          <w:sz w:val="26"/>
          <w:szCs w:val="26"/>
        </w:rPr>
        <w:t>Статья 20. Финансовое обеспечение деятельности контрольно-счетных органов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1. 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C0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388">
        <w:rPr>
          <w:rFonts w:ascii="Times New Roman" w:hAnsi="Times New Roman" w:cs="Times New Roman"/>
          <w:sz w:val="26"/>
          <w:szCs w:val="26"/>
        </w:rP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8" w:name="Par249"/>
      <w:bookmarkEnd w:id="28"/>
      <w:r w:rsidRPr="003C0388">
        <w:rPr>
          <w:rFonts w:ascii="Times New Roman" w:hAnsi="Times New Roman" w:cs="Times New Roman"/>
          <w:sz w:val="26"/>
          <w:szCs w:val="26"/>
        </w:rPr>
        <w:t>Статья 21. Вступление в силу настоящего Федерального закона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 1 октября 2011 года.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Президент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Д.МЕДВЕДЕВ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7 февраля 2011 года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88">
        <w:rPr>
          <w:rFonts w:ascii="Times New Roman" w:hAnsi="Times New Roman" w:cs="Times New Roman"/>
          <w:sz w:val="26"/>
          <w:szCs w:val="26"/>
        </w:rPr>
        <w:t>N 6-ФЗ</w:t>
      </w: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388" w:rsidRPr="003C0388" w:rsidRDefault="003C0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F7B" w:rsidRPr="003C0388" w:rsidRDefault="00A42F7B">
      <w:pPr>
        <w:rPr>
          <w:rFonts w:ascii="Times New Roman" w:hAnsi="Times New Roman" w:cs="Times New Roman"/>
          <w:sz w:val="26"/>
          <w:szCs w:val="26"/>
        </w:rPr>
      </w:pPr>
    </w:p>
    <w:sectPr w:rsidR="00A42F7B" w:rsidRPr="003C0388" w:rsidSect="0059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8"/>
    <w:rsid w:val="00004A81"/>
    <w:rsid w:val="000054AE"/>
    <w:rsid w:val="00005717"/>
    <w:rsid w:val="000138E0"/>
    <w:rsid w:val="00017A04"/>
    <w:rsid w:val="00030A0F"/>
    <w:rsid w:val="000450C8"/>
    <w:rsid w:val="00054BE6"/>
    <w:rsid w:val="000744D2"/>
    <w:rsid w:val="00075FE9"/>
    <w:rsid w:val="00085927"/>
    <w:rsid w:val="000A7F34"/>
    <w:rsid w:val="000B5DAD"/>
    <w:rsid w:val="000C626E"/>
    <w:rsid w:val="000D1BA2"/>
    <w:rsid w:val="000D4CBF"/>
    <w:rsid w:val="000E4DEA"/>
    <w:rsid w:val="000E550D"/>
    <w:rsid w:val="000E7714"/>
    <w:rsid w:val="000F6211"/>
    <w:rsid w:val="00110713"/>
    <w:rsid w:val="0012571E"/>
    <w:rsid w:val="001262BA"/>
    <w:rsid w:val="001329FE"/>
    <w:rsid w:val="00135028"/>
    <w:rsid w:val="0014215D"/>
    <w:rsid w:val="00142B0F"/>
    <w:rsid w:val="00144E31"/>
    <w:rsid w:val="0014764E"/>
    <w:rsid w:val="00147739"/>
    <w:rsid w:val="001526AB"/>
    <w:rsid w:val="001706E4"/>
    <w:rsid w:val="001779B6"/>
    <w:rsid w:val="00191735"/>
    <w:rsid w:val="00194D04"/>
    <w:rsid w:val="00194DDB"/>
    <w:rsid w:val="00197526"/>
    <w:rsid w:val="001A2162"/>
    <w:rsid w:val="001B01B7"/>
    <w:rsid w:val="001C375E"/>
    <w:rsid w:val="001D3736"/>
    <w:rsid w:val="001D4938"/>
    <w:rsid w:val="001D5071"/>
    <w:rsid w:val="001E39C1"/>
    <w:rsid w:val="001E4648"/>
    <w:rsid w:val="00203907"/>
    <w:rsid w:val="00222707"/>
    <w:rsid w:val="002372EC"/>
    <w:rsid w:val="00243E7D"/>
    <w:rsid w:val="00247D84"/>
    <w:rsid w:val="00271647"/>
    <w:rsid w:val="002942C1"/>
    <w:rsid w:val="002B1D65"/>
    <w:rsid w:val="002B2298"/>
    <w:rsid w:val="002B77C9"/>
    <w:rsid w:val="002C2F62"/>
    <w:rsid w:val="002C33F6"/>
    <w:rsid w:val="002D20F2"/>
    <w:rsid w:val="002D4636"/>
    <w:rsid w:val="002E0D94"/>
    <w:rsid w:val="002E2322"/>
    <w:rsid w:val="002E6740"/>
    <w:rsid w:val="002F1D0A"/>
    <w:rsid w:val="00303C5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603B5"/>
    <w:rsid w:val="0036223A"/>
    <w:rsid w:val="00370DB0"/>
    <w:rsid w:val="00375CD2"/>
    <w:rsid w:val="0037777E"/>
    <w:rsid w:val="0039738B"/>
    <w:rsid w:val="003B2225"/>
    <w:rsid w:val="003B3E2A"/>
    <w:rsid w:val="003C0388"/>
    <w:rsid w:val="004018E5"/>
    <w:rsid w:val="00407B8E"/>
    <w:rsid w:val="00411502"/>
    <w:rsid w:val="0041666F"/>
    <w:rsid w:val="004319C2"/>
    <w:rsid w:val="00472509"/>
    <w:rsid w:val="004848FB"/>
    <w:rsid w:val="00486429"/>
    <w:rsid w:val="00491AF2"/>
    <w:rsid w:val="004932FC"/>
    <w:rsid w:val="004A01B7"/>
    <w:rsid w:val="004A094D"/>
    <w:rsid w:val="004A331D"/>
    <w:rsid w:val="004A7F37"/>
    <w:rsid w:val="004C146A"/>
    <w:rsid w:val="004C3383"/>
    <w:rsid w:val="004E44F3"/>
    <w:rsid w:val="004F15FA"/>
    <w:rsid w:val="004F2CC6"/>
    <w:rsid w:val="004F4C9A"/>
    <w:rsid w:val="0051544A"/>
    <w:rsid w:val="00520721"/>
    <w:rsid w:val="00521E7B"/>
    <w:rsid w:val="005228B9"/>
    <w:rsid w:val="00541F1B"/>
    <w:rsid w:val="005521DB"/>
    <w:rsid w:val="00553FFF"/>
    <w:rsid w:val="00555D90"/>
    <w:rsid w:val="005562B7"/>
    <w:rsid w:val="005613BA"/>
    <w:rsid w:val="0057247D"/>
    <w:rsid w:val="00574220"/>
    <w:rsid w:val="005775DC"/>
    <w:rsid w:val="005926B0"/>
    <w:rsid w:val="005B1701"/>
    <w:rsid w:val="005F2970"/>
    <w:rsid w:val="005F3B65"/>
    <w:rsid w:val="005F46A9"/>
    <w:rsid w:val="005F50F9"/>
    <w:rsid w:val="00601C0B"/>
    <w:rsid w:val="00602D60"/>
    <w:rsid w:val="00615C63"/>
    <w:rsid w:val="0062500F"/>
    <w:rsid w:val="00626504"/>
    <w:rsid w:val="006376B0"/>
    <w:rsid w:val="0066756B"/>
    <w:rsid w:val="00672600"/>
    <w:rsid w:val="00672996"/>
    <w:rsid w:val="006852CF"/>
    <w:rsid w:val="00694F95"/>
    <w:rsid w:val="006A4D2D"/>
    <w:rsid w:val="006A63B7"/>
    <w:rsid w:val="006B073E"/>
    <w:rsid w:val="006B3236"/>
    <w:rsid w:val="006B68DC"/>
    <w:rsid w:val="006F1149"/>
    <w:rsid w:val="006F2EB0"/>
    <w:rsid w:val="006F6098"/>
    <w:rsid w:val="006F7E9C"/>
    <w:rsid w:val="00701ADD"/>
    <w:rsid w:val="00722DE5"/>
    <w:rsid w:val="00723AC5"/>
    <w:rsid w:val="00726A7F"/>
    <w:rsid w:val="00726B88"/>
    <w:rsid w:val="007519C4"/>
    <w:rsid w:val="00760BB5"/>
    <w:rsid w:val="00765794"/>
    <w:rsid w:val="0076658F"/>
    <w:rsid w:val="00772084"/>
    <w:rsid w:val="00786167"/>
    <w:rsid w:val="007861E1"/>
    <w:rsid w:val="007A3F3E"/>
    <w:rsid w:val="007B22D1"/>
    <w:rsid w:val="007B3DC9"/>
    <w:rsid w:val="007C6275"/>
    <w:rsid w:val="007C704E"/>
    <w:rsid w:val="007E1BD6"/>
    <w:rsid w:val="007E277D"/>
    <w:rsid w:val="007E6784"/>
    <w:rsid w:val="007E69C8"/>
    <w:rsid w:val="007F16C9"/>
    <w:rsid w:val="007F29A4"/>
    <w:rsid w:val="007F2D01"/>
    <w:rsid w:val="0081235C"/>
    <w:rsid w:val="00812533"/>
    <w:rsid w:val="0081381E"/>
    <w:rsid w:val="00833D32"/>
    <w:rsid w:val="00836683"/>
    <w:rsid w:val="008440A4"/>
    <w:rsid w:val="008547C5"/>
    <w:rsid w:val="00854A95"/>
    <w:rsid w:val="00855C5C"/>
    <w:rsid w:val="00862FDE"/>
    <w:rsid w:val="0086425A"/>
    <w:rsid w:val="00875615"/>
    <w:rsid w:val="00882A04"/>
    <w:rsid w:val="008861BA"/>
    <w:rsid w:val="00887B3C"/>
    <w:rsid w:val="008B5FAC"/>
    <w:rsid w:val="008C47A9"/>
    <w:rsid w:val="008E7684"/>
    <w:rsid w:val="008F14F4"/>
    <w:rsid w:val="008F60DD"/>
    <w:rsid w:val="0091250E"/>
    <w:rsid w:val="00914978"/>
    <w:rsid w:val="0091667B"/>
    <w:rsid w:val="00922395"/>
    <w:rsid w:val="00924A09"/>
    <w:rsid w:val="009268A6"/>
    <w:rsid w:val="00930100"/>
    <w:rsid w:val="00954497"/>
    <w:rsid w:val="00956DE3"/>
    <w:rsid w:val="009576AF"/>
    <w:rsid w:val="009815B3"/>
    <w:rsid w:val="009849FE"/>
    <w:rsid w:val="009A0470"/>
    <w:rsid w:val="009A0506"/>
    <w:rsid w:val="009B7F5B"/>
    <w:rsid w:val="009C3D0F"/>
    <w:rsid w:val="009D2CEF"/>
    <w:rsid w:val="009D3399"/>
    <w:rsid w:val="009D3B4A"/>
    <w:rsid w:val="009D7F6B"/>
    <w:rsid w:val="009F1CCA"/>
    <w:rsid w:val="00A03F4B"/>
    <w:rsid w:val="00A05348"/>
    <w:rsid w:val="00A06C47"/>
    <w:rsid w:val="00A249D9"/>
    <w:rsid w:val="00A27150"/>
    <w:rsid w:val="00A35AC4"/>
    <w:rsid w:val="00A4108A"/>
    <w:rsid w:val="00A42F7B"/>
    <w:rsid w:val="00A4392B"/>
    <w:rsid w:val="00A51351"/>
    <w:rsid w:val="00A550EA"/>
    <w:rsid w:val="00A672A2"/>
    <w:rsid w:val="00A71C56"/>
    <w:rsid w:val="00A83C67"/>
    <w:rsid w:val="00A84CB1"/>
    <w:rsid w:val="00A92935"/>
    <w:rsid w:val="00AA5E74"/>
    <w:rsid w:val="00AB2155"/>
    <w:rsid w:val="00AD036E"/>
    <w:rsid w:val="00AD1627"/>
    <w:rsid w:val="00AD6014"/>
    <w:rsid w:val="00AD65B8"/>
    <w:rsid w:val="00B01BC2"/>
    <w:rsid w:val="00B07CE6"/>
    <w:rsid w:val="00B16162"/>
    <w:rsid w:val="00B24255"/>
    <w:rsid w:val="00B244C8"/>
    <w:rsid w:val="00B4079C"/>
    <w:rsid w:val="00B463D7"/>
    <w:rsid w:val="00B50F8D"/>
    <w:rsid w:val="00B66422"/>
    <w:rsid w:val="00B91EDA"/>
    <w:rsid w:val="00B95B3E"/>
    <w:rsid w:val="00B97164"/>
    <w:rsid w:val="00BC584F"/>
    <w:rsid w:val="00BD2685"/>
    <w:rsid w:val="00BF722E"/>
    <w:rsid w:val="00C17493"/>
    <w:rsid w:val="00C2020A"/>
    <w:rsid w:val="00C20DE8"/>
    <w:rsid w:val="00C2667D"/>
    <w:rsid w:val="00C3160E"/>
    <w:rsid w:val="00C35514"/>
    <w:rsid w:val="00C47D4A"/>
    <w:rsid w:val="00C52B73"/>
    <w:rsid w:val="00C52F83"/>
    <w:rsid w:val="00C62929"/>
    <w:rsid w:val="00C75EA9"/>
    <w:rsid w:val="00C870E3"/>
    <w:rsid w:val="00C87380"/>
    <w:rsid w:val="00C87B0F"/>
    <w:rsid w:val="00CA18EA"/>
    <w:rsid w:val="00CA278D"/>
    <w:rsid w:val="00CA2CCA"/>
    <w:rsid w:val="00CB60EB"/>
    <w:rsid w:val="00CC0272"/>
    <w:rsid w:val="00CE2799"/>
    <w:rsid w:val="00CE7432"/>
    <w:rsid w:val="00CE78C2"/>
    <w:rsid w:val="00CF1B9D"/>
    <w:rsid w:val="00CF54E4"/>
    <w:rsid w:val="00CF73C8"/>
    <w:rsid w:val="00D207C6"/>
    <w:rsid w:val="00D227B8"/>
    <w:rsid w:val="00D36674"/>
    <w:rsid w:val="00D43071"/>
    <w:rsid w:val="00D52941"/>
    <w:rsid w:val="00D53353"/>
    <w:rsid w:val="00D747CC"/>
    <w:rsid w:val="00D765D8"/>
    <w:rsid w:val="00D96B9D"/>
    <w:rsid w:val="00DA71BF"/>
    <w:rsid w:val="00DB15A6"/>
    <w:rsid w:val="00DB41CC"/>
    <w:rsid w:val="00DE268A"/>
    <w:rsid w:val="00DE42F7"/>
    <w:rsid w:val="00DE7667"/>
    <w:rsid w:val="00DE7A5F"/>
    <w:rsid w:val="00DF6053"/>
    <w:rsid w:val="00E029A6"/>
    <w:rsid w:val="00E02B28"/>
    <w:rsid w:val="00E308E1"/>
    <w:rsid w:val="00E33B4F"/>
    <w:rsid w:val="00E34F7C"/>
    <w:rsid w:val="00E5113C"/>
    <w:rsid w:val="00E52806"/>
    <w:rsid w:val="00E53019"/>
    <w:rsid w:val="00E54FDA"/>
    <w:rsid w:val="00E55CD2"/>
    <w:rsid w:val="00E60DD9"/>
    <w:rsid w:val="00E755B3"/>
    <w:rsid w:val="00E85FDD"/>
    <w:rsid w:val="00E91FC1"/>
    <w:rsid w:val="00E96267"/>
    <w:rsid w:val="00EA079D"/>
    <w:rsid w:val="00EA6329"/>
    <w:rsid w:val="00EB13C0"/>
    <w:rsid w:val="00EB7668"/>
    <w:rsid w:val="00ED5D0D"/>
    <w:rsid w:val="00ED7C41"/>
    <w:rsid w:val="00EE4A6E"/>
    <w:rsid w:val="00EE5441"/>
    <w:rsid w:val="00EF19E4"/>
    <w:rsid w:val="00F036D3"/>
    <w:rsid w:val="00F148A5"/>
    <w:rsid w:val="00F14FFC"/>
    <w:rsid w:val="00F17493"/>
    <w:rsid w:val="00F3104D"/>
    <w:rsid w:val="00F31FDF"/>
    <w:rsid w:val="00F34ED6"/>
    <w:rsid w:val="00F36662"/>
    <w:rsid w:val="00F422C8"/>
    <w:rsid w:val="00F56CDA"/>
    <w:rsid w:val="00F658CE"/>
    <w:rsid w:val="00F704C4"/>
    <w:rsid w:val="00F71737"/>
    <w:rsid w:val="00F77D99"/>
    <w:rsid w:val="00F87DA2"/>
    <w:rsid w:val="00F907D4"/>
    <w:rsid w:val="00FC0AB4"/>
    <w:rsid w:val="00FC3A78"/>
    <w:rsid w:val="00FE659E"/>
    <w:rsid w:val="00FE687F"/>
    <w:rsid w:val="00FE6BB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64440E0A7B617DDD97735F4D57367CA3CC51B0IAaEH" TargetMode="External"/><Relationship Id="rId13" Type="http://schemas.openxmlformats.org/officeDocument/2006/relationships/hyperlink" Target="consultantplus://offline/ref=2C02DA79BC3CD35AAAA964440E0A7B617DDF9F7B524357367CA3CC51B0IAaEH" TargetMode="External"/><Relationship Id="rId18" Type="http://schemas.openxmlformats.org/officeDocument/2006/relationships/hyperlink" Target="consultantplus://offline/ref=2C02DA79BC3CD35AAAA964440E0A7B617DDE9E755F4A57367CA3CC51B0AE4AF94B9054DA5AB55DF1I9a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2DA79BC3CD35AAAA964440E0A7B617DDF9F7B524357367CA3CC51B0AE4AF94B9054DA5AB55EF7I9a0H" TargetMode="External"/><Relationship Id="rId7" Type="http://schemas.openxmlformats.org/officeDocument/2006/relationships/hyperlink" Target="consultantplus://offline/ref=2C02DA79BC3CD35AAAA964440E0A7B617ED39077501D00342DF6C2I5a4H" TargetMode="External"/><Relationship Id="rId12" Type="http://schemas.openxmlformats.org/officeDocument/2006/relationships/hyperlink" Target="consultantplus://offline/ref=2C02DA79BC3CD35AAAA964440E0A7B617DDF9F7B524357367CA3CC51B0AE4AF94B9054D85CB3I5aEH" TargetMode="External"/><Relationship Id="rId17" Type="http://schemas.openxmlformats.org/officeDocument/2006/relationships/hyperlink" Target="consultantplus://offline/ref=2C02DA79BC3CD35AAAA964440E0A7B617DDE9E755F4A57367CA3CC51B0AE4AF94B9054DA5AB55DF1I9a6H" TargetMode="External"/><Relationship Id="rId25" Type="http://schemas.openxmlformats.org/officeDocument/2006/relationships/hyperlink" Target="consultantplus://offline/ref=2C02DA79BC3CD35AAAA964440E0A7B617DDE91755C4C57367CA3CC51B0AE4AF94B9054DA5AB454F3I9a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2DA79BC3CD35AAAA964440E0A7B617DDE91745B4A57367CA3CC51B0AE4AF94B9054DA5AIBa2H" TargetMode="External"/><Relationship Id="rId20" Type="http://schemas.openxmlformats.org/officeDocument/2006/relationships/hyperlink" Target="consultantplus://offline/ref=2C02DA79BC3CD35AAAA964440E0A7B617DDF9F7B524357367CA3CC51B0IAa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2DA79BC3CD35AAAA964440E0A7B617DDE9E755F4A57367CA3CC51B0AE4AF94B9054DA5AB55DF1I9a5H" TargetMode="External"/><Relationship Id="rId11" Type="http://schemas.openxmlformats.org/officeDocument/2006/relationships/hyperlink" Target="consultantplus://offline/ref=2C02DA79BC3CD35AAAA964440E0A7B617DDE917B5B4D57367CA3CC51B0AE4AF94B9054DA5AB559F9I9a4H" TargetMode="External"/><Relationship Id="rId24" Type="http://schemas.openxmlformats.org/officeDocument/2006/relationships/hyperlink" Target="consultantplus://offline/ref=2C02DA79BC3CD35AAAA964440E0A7B617DDE91755C4C57367CA3CC51B0AE4AF94B9054DA5AB454F3I9a6H" TargetMode="External"/><Relationship Id="rId5" Type="http://schemas.openxmlformats.org/officeDocument/2006/relationships/hyperlink" Target="consultantplus://offline/ref=2C02DA79BC3CD35AAAA964440E0A7B617DDE91755C4C57367CA3CC51B0AE4AF94B9054DA5AB454F3I9a5H" TargetMode="External"/><Relationship Id="rId15" Type="http://schemas.openxmlformats.org/officeDocument/2006/relationships/hyperlink" Target="consultantplus://offline/ref=2C02DA79BC3CD35AAAA964440E0A7B617DDE9E755C4257367CA3CC51B0AE4AF94B9054DA5AB55DF1I9a6H" TargetMode="External"/><Relationship Id="rId23" Type="http://schemas.openxmlformats.org/officeDocument/2006/relationships/hyperlink" Target="consultantplus://offline/ref=2C02DA79BC3CD35AAAA964440E0A7B617DD8937A524257367CA3CC51B0AE4AF94B9054DA5AB55DF0I9a2H" TargetMode="External"/><Relationship Id="rId10" Type="http://schemas.openxmlformats.org/officeDocument/2006/relationships/hyperlink" Target="consultantplus://offline/ref=2C02DA79BC3CD35AAAA964440E0A7B617ED39077501D00342DF6C2I5a4H" TargetMode="External"/><Relationship Id="rId19" Type="http://schemas.openxmlformats.org/officeDocument/2006/relationships/hyperlink" Target="consultantplus://offline/ref=2C02DA79BC3CD35AAAA964440E0A7B617DDE9F765F4D57367CA3CC51B0IA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2DA79BC3CD35AAAA964440E0A7B617DDF9F7B524357367CA3CC51B0AE4AF94B9054D85CB3I5aEH" TargetMode="External"/><Relationship Id="rId14" Type="http://schemas.openxmlformats.org/officeDocument/2006/relationships/hyperlink" Target="consultantplus://offline/ref=2C02DA79BC3CD35AAAA964440E0A7B617DDF9E775B4D57367CA3CC51B0AE4AF94B9054DA5AB55DF2I9a9H" TargetMode="External"/><Relationship Id="rId22" Type="http://schemas.openxmlformats.org/officeDocument/2006/relationships/hyperlink" Target="consultantplus://offline/ref=2C02DA79BC3CD35AAAA964440E0A7B617ED39077501D00342DF6C2I5a4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musatova</cp:lastModifiedBy>
  <cp:revision>1</cp:revision>
  <dcterms:created xsi:type="dcterms:W3CDTF">2014-04-01T07:26:00Z</dcterms:created>
  <dcterms:modified xsi:type="dcterms:W3CDTF">2014-04-01T07:27:00Z</dcterms:modified>
</cp:coreProperties>
</file>